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EAF" w:rsidRDefault="008B2842" w:rsidP="00380929">
      <w:pPr>
        <w:pStyle w:val="Title"/>
      </w:pPr>
      <w:r>
        <w:fldChar w:fldCharType="begin"/>
      </w:r>
      <w:r>
        <w:instrText xml:space="preserve"> MACROBUTTON MTEditEquationSection2 </w:instrText>
      </w:r>
      <w:r w:rsidRPr="008B2842">
        <w:rPr>
          <w:rStyle w:val="MTEquationSection"/>
        </w:rPr>
        <w:instrText>Equation Chapter 1 Section 1</w:instrText>
      </w:r>
      <w:r>
        <w:fldChar w:fldCharType="begin"/>
      </w:r>
      <w:r>
        <w:instrText xml:space="preserve"> SEQ MTEqn \r \h \* MERGEFORMAT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r w:rsidR="00A9145B" w:rsidRPr="00A9145B">
        <w:t>Including Banks Debt &amp; Money in Macroeconomics</w:t>
      </w:r>
      <w:r w:rsidR="004F7B0A">
        <w:t xml:space="preserve"> (draft)</w:t>
      </w:r>
    </w:p>
    <w:p w:rsidR="003F0E79" w:rsidRDefault="003F0E79" w:rsidP="00B95401">
      <w:pPr>
        <w:pStyle w:val="Quote"/>
      </w:pPr>
      <w:r w:rsidRPr="003F0E79">
        <w:t xml:space="preserve">“It </w:t>
      </w:r>
      <w:proofErr w:type="spellStart"/>
      <w:r w:rsidRPr="003F0E79">
        <w:t>ain't</w:t>
      </w:r>
      <w:proofErr w:type="spellEnd"/>
      <w:r w:rsidRPr="003F0E79">
        <w:t xml:space="preserve"> what you don't know that gets you into trouble. It's what you know for sure that just </w:t>
      </w:r>
      <w:proofErr w:type="spellStart"/>
      <w:r w:rsidRPr="003F0E79">
        <w:t>ain't</w:t>
      </w:r>
      <w:proofErr w:type="spellEnd"/>
      <w:r w:rsidRPr="003F0E79">
        <w:t xml:space="preserve"> so.”</w:t>
      </w:r>
      <w:r>
        <w:t xml:space="preserve"> (</w:t>
      </w:r>
      <w:hyperlink r:id="rId7" w:history="1">
        <w:r w:rsidRPr="00B95401">
          <w:rPr>
            <w:rStyle w:val="Hyperlink"/>
          </w:rPr>
          <w:t>Mark Twain</w:t>
        </w:r>
      </w:hyperlink>
      <w:r>
        <w:t>)</w:t>
      </w:r>
    </w:p>
    <w:p w:rsidR="003D49DD" w:rsidRDefault="003D49DD" w:rsidP="00380929">
      <w:r>
        <w:t xml:space="preserve">Nobel Laureate and INET Scholar Joe </w:t>
      </w:r>
      <w:proofErr w:type="spellStart"/>
      <w:r>
        <w:t>Stiglitz</w:t>
      </w:r>
      <w:proofErr w:type="spellEnd"/>
      <w:r>
        <w:t xml:space="preserve"> recently pointed out the anomaly that the overwhelming majority of macroeconomic models ignore the role of credit:</w:t>
      </w:r>
    </w:p>
    <w:p w:rsidR="003D49DD" w:rsidRDefault="003D49DD" w:rsidP="00380929">
      <w:pPr>
        <w:pStyle w:val="Quote"/>
      </w:pPr>
      <w:r w:rsidRPr="003D49DD">
        <w:t xml:space="preserve">This might seem obvious. But a focus on the provision of credit has neither been at the </w:t>
      </w:r>
      <w:proofErr w:type="spellStart"/>
      <w:r w:rsidRPr="003D49DD">
        <w:t>centre</w:t>
      </w:r>
      <w:proofErr w:type="spellEnd"/>
      <w:r w:rsidRPr="003D49DD">
        <w:t xml:space="preserve"> of policy discourse nor of the standard macro-models. We have to shift our focus from money to credit. In any balance sheet, the two sides are usually going to be very highly correlated. But that is not always the case, particularly in the context of large economic perturbations. In these, we ought to be focusing on credit. I find it remarkable the extent to which there has been an inadequate examination in standard macro models of the nature of the credit mechanism. There is, of course, a large microeconomic literature on banking and credit, but for the most part, the insights of this literature has not been taken on board in standard macro-models.</w:t>
      </w:r>
      <w:r>
        <w:t xml:space="preserve">  </w:t>
      </w:r>
      <w:r w:rsidR="00E356F1">
        <w:fldChar w:fldCharType="begin"/>
      </w:r>
      <w:r w:rsidR="00C24755">
        <w:instrText xml:space="preserve"> ADDIN EN.CITE &lt;EndNote&gt;&lt;Cite&gt;&lt;Author&gt;Guerrero&lt;/Author&gt;&lt;Year&gt;2013&lt;/Year&gt;&lt;RecNum&gt;4634&lt;/RecNum&gt;&lt;DisplayText&gt;(Guerrero and Axtell 2013)&lt;/DisplayText&gt;&lt;record&gt;&lt;rec-number&gt;4634&lt;/rec-number&gt;&lt;foreign-keys&gt;&lt;key app="EN" db-id="avereev0mavvele2e0pvtaw6xzxpwd0tpdv5"&gt;4634&lt;/key&gt;&lt;/foreign-keys&gt;&lt;ref-type name="Journal Article"&gt;17&lt;/ref-type&gt;&lt;contributors&gt;&lt;authors&gt;&lt;author&gt;Guerrero, Omar A.&lt;/author&gt;&lt;author&gt;Axtell, Robert L.&lt;/author&gt;&lt;/authors&gt;&lt;/contributors&gt;&lt;titles&gt;&lt;title&gt;Employment Growth through Labor Flow Networks&lt;/title&gt;&lt;secondary-title&gt;PLoS ONE&lt;/secondary-title&gt;&lt;/titles&gt;&lt;periodical&gt;&lt;full-title&gt;PLoS ONE&lt;/full-title&gt;&lt;/periodical&gt;&lt;pages&gt;e60808&lt;/pages&gt;&lt;volume&gt;8&lt;/volume&gt;&lt;number&gt;5&lt;/number&gt;&lt;dates&gt;&lt;year&gt;2013&lt;/year&gt;&lt;/dates&gt;&lt;publisher&gt;Public Library of Science&lt;/publisher&gt;&lt;urls&gt;&lt;related-urls&gt;&lt;url&gt;http://dx.doi.org/10.1371%2Fjournal.pone.0060808&lt;/url&gt;&lt;/related-urls&gt;&lt;/urls&gt;&lt;electronic-resource-num&gt;10.1371/journal.pone.0060808&lt;/electronic-resource-num&gt;&lt;/record&gt;&lt;/Cite&gt;&lt;/EndNote&gt;</w:instrText>
      </w:r>
      <w:r w:rsidR="00E356F1">
        <w:fldChar w:fldCharType="separate"/>
      </w:r>
      <w:r w:rsidR="00C24755">
        <w:rPr>
          <w:noProof/>
        </w:rPr>
        <w:t>(</w:t>
      </w:r>
      <w:hyperlink w:anchor="_ENREF_12" w:tooltip="Guerrero, 2013 #4634" w:history="1">
        <w:r w:rsidR="00DD06E2">
          <w:rPr>
            <w:noProof/>
          </w:rPr>
          <w:t>Guerrero and Axtell 2013</w:t>
        </w:r>
      </w:hyperlink>
      <w:r w:rsidR="00C24755">
        <w:rPr>
          <w:noProof/>
        </w:rPr>
        <w:t>)</w:t>
      </w:r>
      <w:r w:rsidR="00E356F1">
        <w:fldChar w:fldCharType="end"/>
      </w:r>
    </w:p>
    <w:p w:rsidR="003D49DD" w:rsidRDefault="0073732C" w:rsidP="00380929">
      <w:r>
        <w:t xml:space="preserve">The practice of modeling the </w:t>
      </w:r>
      <w:proofErr w:type="spellStart"/>
      <w:r>
        <w:t>macroeconomy</w:t>
      </w:r>
      <w:proofErr w:type="spellEnd"/>
      <w:r>
        <w:t xml:space="preserve"> without considering the role, not only of credit, but of money itself, has been commonplace in economics. Even Keynes</w:t>
      </w:r>
      <w:r w:rsidR="00C303AC">
        <w:t xml:space="preserve"> </w:t>
      </w:r>
      <w:r>
        <w:t xml:space="preserve">argued that macroeconomics modeling could ignore the </w:t>
      </w:r>
      <w:r w:rsidR="00FA1236">
        <w:t xml:space="preserve">technical </w:t>
      </w:r>
      <w:r>
        <w:t>details of money:</w:t>
      </w:r>
    </w:p>
    <w:p w:rsidR="003D49DD" w:rsidRDefault="0073732C" w:rsidP="00380929">
      <w:pPr>
        <w:pStyle w:val="Quote"/>
      </w:pPr>
      <w:proofErr w:type="gramStart"/>
      <w:r w:rsidRPr="00B65A96">
        <w:t>whilst</w:t>
      </w:r>
      <w:proofErr w:type="gramEnd"/>
      <w:r w:rsidRPr="00B65A96">
        <w:t xml:space="preserve"> it is found that money enters into the economic scheme in an essential and peculiar manner, technical monetary detail falls into the background</w:t>
      </w:r>
      <w:r>
        <w:t xml:space="preserve">. A monetary economy, we shall find, is essentially one in which changing views about the future are capable of influencing the quantity of employment and not merely its direction. But our method of </w:t>
      </w:r>
      <w:proofErr w:type="spellStart"/>
      <w:r>
        <w:t>analysing</w:t>
      </w:r>
      <w:proofErr w:type="spellEnd"/>
      <w:r>
        <w:t xml:space="preserve"> the economic </w:t>
      </w:r>
      <w:proofErr w:type="spellStart"/>
      <w:r>
        <w:t>behaviour</w:t>
      </w:r>
      <w:proofErr w:type="spellEnd"/>
      <w:r>
        <w:t xml:space="preserve"> of the present under the influence of changing ideas about the future is one which depends on the interaction of supply and demand, and is in this way linked up with our fundamental theory of value. We are thus led to a more general theory, which includes the classical theory with which we are familiar, as a special case.” </w:t>
      </w:r>
      <w:r w:rsidR="00E356F1">
        <w:fldChar w:fldCharType="begin"/>
      </w:r>
      <w:r w:rsidR="00B65A96">
        <w:instrText xml:space="preserve"> ADDIN EN.CITE &lt;EndNote&gt;&lt;Cite&gt;&lt;Author&gt;Keynes&lt;/Author&gt;&lt;Year&gt;1936&lt;/Year&gt;&lt;RecNum&gt;1084&lt;/RecNum&gt;&lt;Suffix&gt;`, pp. xxii-xxiii. Emphasis added&lt;/Suffix&gt;&lt;DisplayText&gt;(Keynes 1936, pp. xxii-xxiii. Emphasis added)&lt;/DisplayText&gt;&lt;record&gt;&lt;rec-number&gt;1084&lt;/rec-number&gt;&lt;foreign-keys&gt;&lt;key app="EN" db-id="avereev0mavvele2e0pvtaw6xzxpwd0tpdv5"&gt;1084&lt;/key&gt;&lt;/foreign-keys&gt;&lt;ref-type name="Book"&gt;6&lt;/ref-type&gt;&lt;contributors&gt;&lt;authors&gt;&lt;author&gt;Keynes, J. M.&lt;/author&gt;&lt;/authors&gt;&lt;/contributors&gt;&lt;titles&gt;&lt;title&gt;The general theory of employment, interest and money&lt;/title&gt;&lt;/titles&gt;&lt;dates&gt;&lt;year&gt;1936&lt;/year&gt;&lt;/dates&gt;&lt;pub-location&gt;London&lt;/pub-location&gt;&lt;publisher&gt; Macmillan&lt;/publisher&gt;&lt;urls&gt;&lt;/urls&gt;&lt;/record&gt;&lt;/Cite&gt;&lt;/EndNote&gt;</w:instrText>
      </w:r>
      <w:r w:rsidR="00E356F1">
        <w:fldChar w:fldCharType="separate"/>
      </w:r>
      <w:r w:rsidR="00B65A96">
        <w:rPr>
          <w:noProof/>
        </w:rPr>
        <w:t>(</w:t>
      </w:r>
      <w:hyperlink w:anchor="_ENREF_17" w:tooltip="Keynes, 1936 #1084" w:history="1">
        <w:r w:rsidR="00DD06E2">
          <w:rPr>
            <w:noProof/>
          </w:rPr>
          <w:t>Keynes 1936, pp. xxii-xxiii. Emphasis added</w:t>
        </w:r>
      </w:hyperlink>
      <w:r w:rsidR="00B65A96">
        <w:rPr>
          <w:noProof/>
        </w:rPr>
        <w:t>)</w:t>
      </w:r>
      <w:r w:rsidR="00E356F1">
        <w:fldChar w:fldCharType="end"/>
      </w:r>
    </w:p>
    <w:p w:rsidR="0073732C" w:rsidRDefault="00C303AC" w:rsidP="00380929">
      <w:r>
        <w:t xml:space="preserve">Though I regard </w:t>
      </w:r>
      <w:r w:rsidR="00430D62">
        <w:t xml:space="preserve">modern “New Keynesian” DSGE (“Dynamic Stochastic General Equilibrium”) models </w:t>
      </w:r>
      <w:r>
        <w:t xml:space="preserve">as </w:t>
      </w:r>
      <w:r w:rsidR="00B60F2B">
        <w:t xml:space="preserve">irredeemably </w:t>
      </w:r>
      <w:r>
        <w:t xml:space="preserve">erroneous in many other ways </w:t>
      </w:r>
      <w:r>
        <w:fldChar w:fldCharType="begin"/>
      </w:r>
      <w:r>
        <w:instrText xml:space="preserve"> ADDIN EN.CITE &lt;EndNote&gt;&lt;Cite&gt;&lt;Author&gt;Keen&lt;/Author&gt;&lt;Year&gt;2011&lt;/Year&gt;&lt;RecNum&gt;2701&lt;/RecNum&gt;&lt;Suffix&gt;`, Chs 9`, 10`, 12&lt;/Suffix&gt;&lt;DisplayText&gt;(Keen 2011, Chs 9, 10, 12)&lt;/DisplayText&gt;&lt;record&gt;&lt;rec-number&gt;2701&lt;/rec-number&gt;&lt;foreign-keys&gt;&lt;key app="EN" db-id="avereev0mavvele2e0pvtaw6xzxpwd0tpdv5"&gt;2701&lt;/key&gt;&lt;/foreign-keys&gt;&lt;ref-type name="Book"&gt;6&lt;/ref-type&gt;&lt;contributors&gt;&lt;authors&gt;&lt;author&gt;Keen, Steve&lt;/author&gt;&lt;/authors&gt;&lt;/contributors&gt;&lt;titles&gt;&lt;title&gt;Debunking economics: The naked emperor dethroned?&lt;/title&gt;&lt;/titles&gt;&lt;pages&gt;xvi&lt;/pages&gt;&lt;edition&gt;Second Edition&lt;/edition&gt;&lt;keywords&gt;&lt;keyword&gt;Economic Education and Teaching of Economics: Undergraduate A220&lt;/keyword&gt;&lt;keyword&gt;Current Heterodox Approaches: General B500&lt;/keyword&gt;&lt;keyword&gt;Role of Economics&lt;/keyword&gt;&lt;keyword&gt;Role of Economists A110&lt;/keyword&gt;&lt;/keywords&gt;&lt;dates&gt;&lt;year&gt;2011&lt;/year&gt;&lt;/dates&gt;&lt;pub-location&gt;London&lt;/pub-location&gt;&lt;publisher&gt;Zed Books&lt;/publisher&gt;&lt;isbn&gt;978-1848139923&lt;/isbn&gt;&lt;urls&gt;&lt;related-urls&gt;&lt;url&gt;http://search.ebscohost.com/login.aspx?direct=true&amp;amp;db=ecn&amp;amp;AN=0612780&amp;amp;site=ehost-live&lt;/url&gt;&lt;/related-urls&gt;&lt;/urls&gt;&lt;/record&gt;&lt;/Cite&gt;&lt;/EndNote&gt;</w:instrText>
      </w:r>
      <w:r>
        <w:fldChar w:fldCharType="separate"/>
      </w:r>
      <w:r>
        <w:rPr>
          <w:noProof/>
        </w:rPr>
        <w:t>(</w:t>
      </w:r>
      <w:hyperlink w:anchor="_ENREF_16" w:tooltip="Keen, 2011 #2701" w:history="1">
        <w:r w:rsidR="00DD06E2">
          <w:rPr>
            <w:noProof/>
          </w:rPr>
          <w:t>Keen 2011, Chs 9, 10, 12</w:t>
        </w:r>
      </w:hyperlink>
      <w:r>
        <w:rPr>
          <w:noProof/>
        </w:rPr>
        <w:t>)</w:t>
      </w:r>
      <w:r>
        <w:fldChar w:fldCharType="end"/>
      </w:r>
      <w:r>
        <w:t xml:space="preserve">, in one sense </w:t>
      </w:r>
      <w:r w:rsidR="00430D62">
        <w:t xml:space="preserve">they </w:t>
      </w:r>
      <w:r>
        <w:t>are simply a continuation of</w:t>
      </w:r>
      <w:r w:rsidR="009F18F9">
        <w:t xml:space="preserve"> this </w:t>
      </w:r>
      <w:r>
        <w:t xml:space="preserve">non-monetary </w:t>
      </w:r>
      <w:r w:rsidR="009F18F9">
        <w:t>tradition</w:t>
      </w:r>
      <w:r>
        <w:t xml:space="preserve"> in economics</w:t>
      </w:r>
      <w:r w:rsidR="009F18F9">
        <w:t xml:space="preserve">. Even recent papers that attempt to model debt do so by abstracting from both money and banks </w:t>
      </w:r>
      <w:r w:rsidR="00E356F1">
        <w:fldChar w:fldCharType="begin"/>
      </w:r>
      <w:r w:rsidR="00E356F1">
        <w:instrText xml:space="preserve"> ADDIN EN.CITE &lt;EndNote&gt;&lt;Cite&gt;&lt;Author&gt;Eggertsson&lt;/Author&gt;&lt;Year&gt;2012&lt;/Year&gt;&lt;RecNum&gt;4635&lt;/RecNum&gt;&lt;Prefix&gt;see for example &lt;/Prefix&gt;&lt;Suffix&gt;`, p. 1474`, in which &amp;quot;borrowing and lending take the form of risk-free bonds denominated in the consumption good&amp;quot;&lt;/Suffix&gt;&lt;DisplayText&gt;(see for example Eggertsson and Krugman 2012, p. 1474, in which &amp;quot;borrowing and lending take the form of risk-free bonds denominated in the consumption good&amp;quot;)&lt;/DisplayText&gt;&lt;record&gt;&lt;rec-number&gt;4635&lt;/rec-number&gt;&lt;foreign-keys&gt;&lt;key app="EN" db-id="avereev0mavvele2e0pvtaw6xzxpwd0tpdv5"&gt;4635&lt;/key&gt;&lt;/foreign-keys&gt;&lt;ref-type name="Journal Article"&gt;17&lt;/ref-type&gt;&lt;contributors&gt;&lt;authors&gt;&lt;author&gt;Eggertsson, Gauti B.&lt;/author&gt;&lt;author&gt;Krugman, Paul&lt;/author&gt;&lt;/authors&gt;&lt;/contributors&gt;&lt;titles&gt;&lt;title&gt;Debt, Deleveraging, and the Liquidity Trap: A Fisher-Minsky-Koo approach&lt;/title&gt;&lt;secondary-title&gt;Quarterly Journal of Economics&lt;/secondary-title&gt;&lt;/titles&gt;&lt;periodical&gt;&lt;full-title&gt;Quarterly Journal of Economics&lt;/full-title&gt;&lt;/periodical&gt;&lt;pages&gt;1469–1513&lt;/pages&gt;&lt;volume&gt;127&lt;/volume&gt;&lt;dates&gt;&lt;year&gt;2012&lt;/year&gt;&lt;/dates&gt;&lt;urls&gt;&lt;related-urls&gt;&lt;url&gt;http://qje.oxfordjournals.org/content/127/3.toc&lt;/url&gt;&lt;/related-urls&gt;&lt;/urls&gt;&lt;electronic-resource-num&gt;doi:10.1093/qje/qjs023&lt;/electronic-resource-num&gt;&lt;/record&gt;&lt;/Cite&gt;&lt;/EndNote&gt;</w:instrText>
      </w:r>
      <w:r w:rsidR="00E356F1">
        <w:fldChar w:fldCharType="separate"/>
      </w:r>
      <w:r w:rsidR="00E356F1">
        <w:rPr>
          <w:noProof/>
        </w:rPr>
        <w:t>(</w:t>
      </w:r>
      <w:hyperlink w:anchor="_ENREF_6" w:tooltip="Eggertsson, 2012 #4635" w:history="1">
        <w:r w:rsidR="00DD06E2">
          <w:rPr>
            <w:noProof/>
          </w:rPr>
          <w:t>see for example Eggertsson and Krugman 2012, p. 1474, in which "borrowing and lending take the form of risk-free bonds denominated in the consumption good"</w:t>
        </w:r>
      </w:hyperlink>
      <w:r w:rsidR="00E356F1">
        <w:rPr>
          <w:noProof/>
        </w:rPr>
        <w:t>)</w:t>
      </w:r>
      <w:r w:rsidR="00E356F1">
        <w:fldChar w:fldCharType="end"/>
      </w:r>
      <w:r w:rsidR="00B60F2B">
        <w:t xml:space="preserve">—with the notable exception of Benes and </w:t>
      </w:r>
      <w:proofErr w:type="spellStart"/>
      <w:r w:rsidR="00B60F2B" w:rsidRPr="00B60F2B">
        <w:t>Kumhof</w:t>
      </w:r>
      <w:proofErr w:type="spellEnd"/>
      <w:r w:rsidR="00B60F2B">
        <w:t xml:space="preserve"> </w:t>
      </w:r>
      <w:r w:rsidR="00B60F2B">
        <w:fldChar w:fldCharType="begin"/>
      </w:r>
      <w:r w:rsidR="00B60F2B">
        <w:instrText xml:space="preserve"> ADDIN EN.CITE &lt;EndNote&gt;&lt;Cite&gt;&lt;Author&gt;Benes&lt;/Author&gt;&lt;Year&gt;2012&lt;/Year&gt;&lt;RecNum&gt;4181&lt;/RecNum&gt;&lt;DisplayText&gt;(Benes and Kumhof 2012)&lt;/DisplayText&gt;&lt;record&gt;&lt;rec-number&gt;4181&lt;/rec-number&gt;&lt;foreign-keys&gt;&lt;key app="EN" db-id="avereev0mavvele2e0pvtaw6xzxpwd0tpdv5"&gt;4181&lt;/key&gt;&lt;/foreign-keys&gt;&lt;ref-type name="Unpublished Work"&gt;34&lt;/ref-type&gt;&lt;contributors&gt;&lt;authors&gt;&lt;author&gt;Jaromir Benes&lt;/author&gt;&lt;author&gt;Michael Kumhof&lt;/author&gt;&lt;/authors&gt;&lt;/contributors&gt;&lt;titles&gt;&lt;title&gt;The Chicago Plan Revisited&lt;/title&gt;&lt;secondary-title&gt;IMF Working Paper&lt;/secondary-title&gt;&lt;/titles&gt;&lt;number&gt;WP12/202&lt;/number&gt;&lt;dates&gt;&lt;year&gt;2012&lt;/year&gt;&lt;pub-dates&gt;&lt;date&gt;August 2012&lt;/date&gt;&lt;/pub-dates&gt;&lt;/dates&gt;&lt;pub-location&gt;Washington&lt;/pub-location&gt;&lt;publisher&gt;IMF&lt;/publisher&gt;&lt;urls&gt;&lt;related-urls&gt;&lt;url&gt;http://www.imf.org/external/pubs/ft/wp/2012/wp12202.pdf&lt;/url&gt;&lt;/related-urls&gt;&lt;/urls&gt;&lt;/record&gt;&lt;/Cite&gt;&lt;/EndNote&gt;</w:instrText>
      </w:r>
      <w:r w:rsidR="00B60F2B">
        <w:fldChar w:fldCharType="separate"/>
      </w:r>
      <w:r w:rsidR="00B60F2B">
        <w:rPr>
          <w:noProof/>
        </w:rPr>
        <w:t>(</w:t>
      </w:r>
      <w:hyperlink w:anchor="_ENREF_1" w:tooltip="Benes, 2012 #4181" w:history="1">
        <w:r w:rsidR="00DD06E2">
          <w:rPr>
            <w:noProof/>
          </w:rPr>
          <w:t>Benes and Kumhof 2012</w:t>
        </w:r>
      </w:hyperlink>
      <w:r w:rsidR="00B60F2B">
        <w:rPr>
          <w:noProof/>
        </w:rPr>
        <w:t>)</w:t>
      </w:r>
      <w:r w:rsidR="00B60F2B">
        <w:fldChar w:fldCharType="end"/>
      </w:r>
      <w:r w:rsidR="00056553">
        <w:t>.</w:t>
      </w:r>
    </w:p>
    <w:p w:rsidR="00056553" w:rsidRDefault="00056553" w:rsidP="00380929">
      <w:r>
        <w:lastRenderedPageBreak/>
        <w:t xml:space="preserve">In this paper I will argue that this tradition is fundamentally misguided, that macroeconomics must include the “technical monetary detail” of how banks create </w:t>
      </w:r>
      <w:r w:rsidR="00C303AC">
        <w:t>money</w:t>
      </w:r>
      <w:r w:rsidR="0013607C">
        <w:t xml:space="preserve"> and how this in turn affects the </w:t>
      </w:r>
      <w:proofErr w:type="spellStart"/>
      <w:r w:rsidR="0013607C">
        <w:t>macroeconomy</w:t>
      </w:r>
      <w:proofErr w:type="spellEnd"/>
      <w:r w:rsidR="00360D7E">
        <w:t>, and that this now an eminently feasible goal</w:t>
      </w:r>
      <w:r w:rsidR="0013607C">
        <w:t>.</w:t>
      </w:r>
    </w:p>
    <w:p w:rsidR="00B45D20" w:rsidRDefault="00B45D20" w:rsidP="00B45D20">
      <w:pPr>
        <w:pStyle w:val="Heading1"/>
      </w:pPr>
      <w:r>
        <w:t>Loanable funds and the non-importance of aggregate private debt</w:t>
      </w:r>
    </w:p>
    <w:p w:rsidR="00056553" w:rsidRDefault="00056553" w:rsidP="00380929">
      <w:r>
        <w:t xml:space="preserve">The key argument advanced today </w:t>
      </w:r>
      <w:r w:rsidR="00E356F1">
        <w:t xml:space="preserve">by New Keynesian economists </w:t>
      </w:r>
      <w:r>
        <w:t xml:space="preserve">for not considering </w:t>
      </w:r>
      <w:r w:rsidR="00C303AC">
        <w:t>money and debt</w:t>
      </w:r>
      <w:r w:rsidR="0013607C">
        <w:t xml:space="preserve"> </w:t>
      </w:r>
      <w:r>
        <w:t>is that lending has no macroeconomic consequences</w:t>
      </w:r>
      <w:r w:rsidR="00A01DB7">
        <w:t>—except during extraordinary events like those of today where the “</w:t>
      </w:r>
      <w:r w:rsidR="00A01DB7" w:rsidRPr="00056553">
        <w:t>zero lower bound</w:t>
      </w:r>
      <w:r w:rsidR="00A01DB7">
        <w:t>” applies—</w:t>
      </w:r>
      <w:r>
        <w:t xml:space="preserve">because </w:t>
      </w:r>
      <w:r w:rsidR="00E356F1">
        <w:t xml:space="preserve">of the </w:t>
      </w:r>
      <w:r w:rsidR="00E4531E">
        <w:t xml:space="preserve">accounting </w:t>
      </w:r>
      <w:r w:rsidR="00E356F1">
        <w:t xml:space="preserve">truism that “one person’s liability is another person’s asset” </w:t>
      </w:r>
      <w:r w:rsidR="00E356F1">
        <w:fldChar w:fldCharType="begin"/>
      </w:r>
      <w:r w:rsidR="00E356F1">
        <w:instrText xml:space="preserve"> ADDIN EN.CITE &lt;EndNote&gt;&lt;Cite&gt;&lt;Author&gt;Eggertsson&lt;/Author&gt;&lt;Year&gt;2012&lt;/Year&gt;&lt;RecNum&gt;4635&lt;/RecNum&gt;&lt;DisplayText&gt;(Eggertsson and Krugman 2012)&lt;/DisplayText&gt;&lt;record&gt;&lt;rec-number&gt;4635&lt;/rec-number&gt;&lt;foreign-keys&gt;&lt;key app="EN" db-id="avereev0mavvele2e0pvtaw6xzxpwd0tpdv5"&gt;4635&lt;/key&gt;&lt;/foreign-keys&gt;&lt;ref-type name="Journal Article"&gt;17&lt;/ref-type&gt;&lt;contributors&gt;&lt;authors&gt;&lt;author&gt;Eggertsson, Gauti B.&lt;/author&gt;&lt;author&gt;Krugman, Paul&lt;/author&gt;&lt;/authors&gt;&lt;/contributors&gt;&lt;titles&gt;&lt;title&gt;Debt, Deleveraging, and the Liquidity Trap: A Fisher-Minsky-Koo approach&lt;/title&gt;&lt;secondary-title&gt;Quarterly Journal of Economics&lt;/secondary-title&gt;&lt;/titles&gt;&lt;periodical&gt;&lt;full-title&gt;Quarterly Journal of Economics&lt;/full-title&gt;&lt;/periodical&gt;&lt;pages&gt;1469–1513&lt;/pages&gt;&lt;volume&gt;127&lt;/volume&gt;&lt;dates&gt;&lt;year&gt;2012&lt;/year&gt;&lt;/dates&gt;&lt;urls&gt;&lt;related-urls&gt;&lt;url&gt;http://qje.oxfordjournals.org/content/127/3.toc&lt;/url&gt;&lt;/related-urls&gt;&lt;/urls&gt;&lt;electronic-resource-num&gt;doi:10.1093/qje/qjs023&lt;/electronic-resource-num&gt;&lt;/record&gt;&lt;/Cite&gt;&lt;/EndNote&gt;</w:instrText>
      </w:r>
      <w:r w:rsidR="00E356F1">
        <w:fldChar w:fldCharType="separate"/>
      </w:r>
      <w:r w:rsidR="00E356F1">
        <w:rPr>
          <w:noProof/>
        </w:rPr>
        <w:t>(</w:t>
      </w:r>
      <w:hyperlink w:anchor="_ENREF_6" w:tooltip="Eggertsson, 2012 #4635" w:history="1">
        <w:r w:rsidR="00DD06E2">
          <w:rPr>
            <w:noProof/>
          </w:rPr>
          <w:t>Eggertsson and Krugman 2012</w:t>
        </w:r>
      </w:hyperlink>
      <w:r w:rsidR="00E356F1">
        <w:rPr>
          <w:noProof/>
        </w:rPr>
        <w:t>)</w:t>
      </w:r>
      <w:r w:rsidR="00E356F1">
        <w:fldChar w:fldCharType="end"/>
      </w:r>
      <w:r w:rsidR="00E4531E">
        <w:t xml:space="preserve">. </w:t>
      </w:r>
      <w:r w:rsidR="00A01DB7">
        <w:t>From this truism, t</w:t>
      </w:r>
      <w:r w:rsidR="00E4531E">
        <w:t xml:space="preserve">he deduction is made that debt </w:t>
      </w:r>
      <w:r w:rsidR="00A01DB7">
        <w:t xml:space="preserve">therefore </w:t>
      </w:r>
      <w:r w:rsidR="00E4531E">
        <w:t xml:space="preserve">represents </w:t>
      </w:r>
      <w:r w:rsidR="00A01DB7">
        <w:t xml:space="preserve">no more than </w:t>
      </w:r>
      <w:r w:rsidR="00E4531E">
        <w:t>a redistribution of spending power between lender and borrower, and can generally be ignored</w:t>
      </w:r>
      <w:r w:rsidR="00C303AC">
        <w:t xml:space="preserve"> because the borrower’s increase in spending power is cancelled out by the lender’s decrease</w:t>
      </w:r>
      <w:r w:rsidR="00E4531E">
        <w:t xml:space="preserve">. </w:t>
      </w:r>
      <w:r w:rsidR="00130497">
        <w:t xml:space="preserve">This was the reason that Bernanke gave for the lack of attention given to Irving Fisher’s “Debt-Deflation Theory of Great Depressions” </w:t>
      </w:r>
      <w:r w:rsidR="00E356F1">
        <w:fldChar w:fldCharType="begin"/>
      </w:r>
      <w:r w:rsidR="00E356F1">
        <w:instrText xml:space="preserve"> ADDIN EN.CITE &lt;EndNote&gt;&lt;Cite&gt;&lt;Author&gt;Fisher&lt;/Author&gt;&lt;Year&gt;1933&lt;/Year&gt;&lt;RecNum&gt;152&lt;/RecNum&gt;&lt;DisplayText&gt;(Fisher 1933)&lt;/DisplayText&gt;&lt;record&gt;&lt;rec-number&gt;152&lt;/rec-number&gt;&lt;foreign-keys&gt;&lt;key app="EN" db-id="avereev0mavvele2e0pvtaw6xzxpwd0tpdv5"&gt;152&lt;/key&gt;&lt;/foreign-keys&gt;&lt;ref-type name="Journal Article"&gt;17&lt;/ref-type&gt;&lt;contributors&gt;&lt;authors&gt;&lt;author&gt;Fisher, Irving&lt;/author&gt;&lt;/authors&gt;&lt;/contributors&gt;&lt;titles&gt;&lt;title&gt;The Debt-Deflation Theory of Great Depressions&lt;/title&gt;&lt;secondary-title&gt;Econometrica&lt;/secondary-title&gt;&lt;/titles&gt;&lt;periodical&gt;&lt;full-title&gt;Econometrica&lt;/full-title&gt;&lt;/periodical&gt;&lt;pages&gt;337-357&lt;/pages&gt;&lt;volume&gt;1&lt;/volume&gt;&lt;number&gt;4&lt;/number&gt;&lt;dates&gt;&lt;year&gt;1933&lt;/year&gt;&lt;/dates&gt;&lt;publisher&gt;The Econometric Society&lt;/publisher&gt;&lt;isbn&gt;00129682&lt;/isbn&gt;&lt;urls&gt;&lt;related-urls&gt;&lt;url&gt;http://www.jstor.org/stable/1907327&lt;/url&gt;&lt;/related-urls&gt;&lt;/urls&gt;&lt;/record&gt;&lt;/Cite&gt;&lt;/EndNote&gt;</w:instrText>
      </w:r>
      <w:r w:rsidR="00E356F1">
        <w:fldChar w:fldCharType="separate"/>
      </w:r>
      <w:r w:rsidR="00E356F1">
        <w:rPr>
          <w:noProof/>
        </w:rPr>
        <w:t>(</w:t>
      </w:r>
      <w:hyperlink w:anchor="_ENREF_7" w:tooltip="Fisher, 1933 #152" w:history="1">
        <w:r w:rsidR="00DD06E2">
          <w:rPr>
            <w:noProof/>
          </w:rPr>
          <w:t>Fisher 1933</w:t>
        </w:r>
      </w:hyperlink>
      <w:r w:rsidR="00E356F1">
        <w:rPr>
          <w:noProof/>
        </w:rPr>
        <w:t>)</w:t>
      </w:r>
      <w:r w:rsidR="00E356F1">
        <w:fldChar w:fldCharType="end"/>
      </w:r>
    </w:p>
    <w:p w:rsidR="00130497" w:rsidRDefault="00130497" w:rsidP="00380929">
      <w:pPr>
        <w:pStyle w:val="Quote"/>
      </w:pPr>
      <w:r>
        <w:t xml:space="preserve">“Fisher's idea was less influential in academic circles, though, because of the counterargument that debt-deflation represented no more than a redistribution from one group (debtors) to another (creditors). Absent implausibly large differences in marginal spending propensities among the groups, it was suggested, </w:t>
      </w:r>
      <w:r w:rsidRPr="00256D4C">
        <w:rPr>
          <w:i/>
        </w:rPr>
        <w:t>pure redistributions should have no significant macro-economic effects</w:t>
      </w:r>
      <w:r>
        <w:t xml:space="preserve">…”  </w:t>
      </w:r>
      <w:r w:rsidR="00E356F1">
        <w:fldChar w:fldCharType="begin"/>
      </w:r>
      <w:r w:rsidR="00E356F1">
        <w:instrText xml:space="preserve"> ADDIN EN.CITE &lt;EndNote&gt;&lt;Cite&gt;&lt;Author&gt;Bernanke&lt;/Author&gt;&lt;Year&gt;2000&lt;/Year&gt;&lt;RecNum&gt;1098&lt;/RecNum&gt;&lt;Suffix&gt;`, p. 24. Emphasis added&lt;/Suffix&gt;&lt;DisplayText&gt;(Bernanke 2000, p. 24. Emphasis added)&lt;/DisplayText&gt;&lt;record&gt;&lt;rec-number&gt;1098&lt;/rec-number&gt;&lt;foreign-keys&gt;&lt;key app="EN" db-id="avereev0mavvele2e0pvtaw6xzxpwd0tpdv5"&gt;1098&lt;/key&gt;&lt;/foreign-keys&gt;&lt;ref-type name="Book"&gt;6&lt;/ref-type&gt;&lt;contributors&gt;&lt;authors&gt;&lt;author&gt;Bernanke, Ben S.&lt;/author&gt;&lt;/authors&gt;&lt;/contributors&gt;&lt;titles&gt;&lt;title&gt;Essays on the Great Depression&lt;/title&gt;&lt;/titles&gt;&lt;pages&gt;ix&lt;/pages&gt;&lt;keywords&gt;&lt;keyword&gt;Business Fluctuations&lt;/keyword&gt;&lt;keyword&gt;Cycles E320&lt;/keyword&gt;&lt;keyword&gt;Economic History: Macroeconomics&lt;/keyword&gt;&lt;keyword&gt;Growth and Fluctuations: U.S.&lt;/keyword&gt;&lt;keyword&gt;Canada: 1913- N120&lt;/keyword&gt;&lt;/keywords&gt;&lt;dates&gt;&lt;year&gt;2000&lt;/year&gt;&lt;/dates&gt;&lt;pub-location&gt;Princeton&lt;/pub-location&gt;&lt;publisher&gt;Princeton University Press&lt;/publisher&gt;&lt;urls&gt;&lt;related-urls&gt;&lt;url&gt;http://search.ebscohost.com/login.aspx?direct=true&amp;amp;db=ecn&amp;amp;AN=0535821&amp;amp;site=ehost-live&lt;/url&gt;&lt;/related-urls&gt;&lt;/urls&gt;&lt;/record&gt;&lt;/Cite&gt;&lt;/EndNote&gt;</w:instrText>
      </w:r>
      <w:r w:rsidR="00E356F1">
        <w:fldChar w:fldCharType="separate"/>
      </w:r>
      <w:r w:rsidR="00E356F1">
        <w:rPr>
          <w:noProof/>
        </w:rPr>
        <w:t>(</w:t>
      </w:r>
      <w:hyperlink w:anchor="_ENREF_2" w:tooltip="Bernanke, 2000 #1098" w:history="1">
        <w:r w:rsidR="00DD06E2">
          <w:rPr>
            <w:noProof/>
          </w:rPr>
          <w:t>Bernanke 2000, p. 24. Emphasis added</w:t>
        </w:r>
      </w:hyperlink>
      <w:r w:rsidR="00E356F1">
        <w:rPr>
          <w:noProof/>
        </w:rPr>
        <w:t>)</w:t>
      </w:r>
      <w:r w:rsidR="00E356F1">
        <w:fldChar w:fldCharType="end"/>
      </w:r>
    </w:p>
    <w:p w:rsidR="00130497" w:rsidRDefault="006531AE" w:rsidP="00380929">
      <w:r>
        <w:t xml:space="preserve">The same case is made by </w:t>
      </w:r>
      <w:proofErr w:type="spellStart"/>
      <w:r>
        <w:t>Eggertsson</w:t>
      </w:r>
      <w:proofErr w:type="spellEnd"/>
      <w:r>
        <w:t xml:space="preserve"> and </w:t>
      </w:r>
      <w:proofErr w:type="spellStart"/>
      <w:r>
        <w:t>Krugman</w:t>
      </w:r>
      <w:proofErr w:type="spellEnd"/>
      <w:r>
        <w:t xml:space="preserve"> when they justify including debt </w:t>
      </w:r>
      <w:r w:rsidR="00BD7406">
        <w:t xml:space="preserve">(though not money or banks) </w:t>
      </w:r>
      <w:r>
        <w:t xml:space="preserve">in their </w:t>
      </w:r>
      <w:r w:rsidR="00BD7406">
        <w:t xml:space="preserve">recent </w:t>
      </w:r>
      <w:proofErr w:type="gramStart"/>
      <w:r w:rsidR="00BD7406">
        <w:t xml:space="preserve">DSGE </w:t>
      </w:r>
      <w:r>
        <w:t xml:space="preserve"> model</w:t>
      </w:r>
      <w:proofErr w:type="gramEnd"/>
      <w:r>
        <w:t>: debt matters only when there are distributional factors that make it matter:</w:t>
      </w:r>
    </w:p>
    <w:p w:rsidR="006531AE" w:rsidRDefault="006531AE" w:rsidP="00380929">
      <w:pPr>
        <w:pStyle w:val="Quote"/>
      </w:pPr>
      <w:proofErr w:type="gramStart"/>
      <w:r>
        <w:t>to</w:t>
      </w:r>
      <w:proofErr w:type="gramEnd"/>
      <w:r>
        <w:t xml:space="preserve"> a first approximation debt is money we owe to ourselves</w:t>
      </w:r>
      <w:r w:rsidR="009312E4">
        <w:t>…</w:t>
      </w:r>
      <w:r>
        <w:t xml:space="preserve"> Ignoring the foreign component, or looking at the world as a whole, the overall level of debt makes no difference to aggregate net worth—one person’s liability is another person’s asset</w:t>
      </w:r>
      <w:r w:rsidRPr="00256D4C">
        <w:rPr>
          <w:i/>
        </w:rPr>
        <w:t>. It follows that the level of debt matters only if the distribution of that debt matters</w:t>
      </w:r>
      <w:r>
        <w:t xml:space="preserve">, if highly indebted players face different constraints from players with low debt. </w:t>
      </w:r>
      <w:r w:rsidR="00E356F1">
        <w:fldChar w:fldCharType="begin"/>
      </w:r>
      <w:r w:rsidR="00E356F1">
        <w:instrText xml:space="preserve"> ADDIN EN.CITE &lt;EndNote&gt;&lt;Cite&gt;&lt;Author&gt;Eggertsson&lt;/Author&gt;&lt;Year&gt;2012&lt;/Year&gt;&lt;RecNum&gt;4635&lt;/RecNum&gt;&lt;Suffix&gt;`, p. 1471. Emphasis added&lt;/Suffix&gt;&lt;DisplayText&gt;(Eggertsson and Krugman 2012, p. 1471. Emphasis added)&lt;/DisplayText&gt;&lt;record&gt;&lt;rec-number&gt;4635&lt;/rec-number&gt;&lt;foreign-keys&gt;&lt;key app="EN" db-id="avereev0mavvele2e0pvtaw6xzxpwd0tpdv5"&gt;4635&lt;/key&gt;&lt;/foreign-keys&gt;&lt;ref-type name="Journal Article"&gt;17&lt;/ref-type&gt;&lt;contributors&gt;&lt;authors&gt;&lt;author&gt;Eggertsson, Gauti B.&lt;/author&gt;&lt;author&gt;Krugman, Paul&lt;/author&gt;&lt;/authors&gt;&lt;/contributors&gt;&lt;titles&gt;&lt;title&gt;Debt, Deleveraging, and the Liquidity Trap: A Fisher-Minsky-Koo approach&lt;/title&gt;&lt;secondary-title&gt;Quarterly Journal of Economics&lt;/secondary-title&gt;&lt;/titles&gt;&lt;periodical&gt;&lt;full-title&gt;Quarterly Journal of Economics&lt;/full-title&gt;&lt;/periodical&gt;&lt;pages&gt;1469–1513&lt;/pages&gt;&lt;volume&gt;127&lt;/volume&gt;&lt;dates&gt;&lt;year&gt;2012&lt;/year&gt;&lt;/dates&gt;&lt;urls&gt;&lt;related-urls&gt;&lt;url&gt;http://qje.oxfordjournals.org/content/127/3.toc&lt;/url&gt;&lt;/related-urls&gt;&lt;/urls&gt;&lt;electronic-resource-num&gt;doi:10.1093/qje/qjs023&lt;/electronic-resource-num&gt;&lt;/record&gt;&lt;/Cite&gt;&lt;/EndNote&gt;</w:instrText>
      </w:r>
      <w:r w:rsidR="00E356F1">
        <w:fldChar w:fldCharType="separate"/>
      </w:r>
      <w:r w:rsidR="00E356F1">
        <w:rPr>
          <w:noProof/>
        </w:rPr>
        <w:t>(</w:t>
      </w:r>
      <w:hyperlink w:anchor="_ENREF_6" w:tooltip="Eggertsson, 2012 #4635" w:history="1">
        <w:r w:rsidR="00DD06E2">
          <w:rPr>
            <w:noProof/>
          </w:rPr>
          <w:t>Eggertsson and Krugman 2012, p. 1471. Emphasis added</w:t>
        </w:r>
      </w:hyperlink>
      <w:r w:rsidR="00E356F1">
        <w:rPr>
          <w:noProof/>
        </w:rPr>
        <w:t>)</w:t>
      </w:r>
      <w:r w:rsidR="00E356F1">
        <w:fldChar w:fldCharType="end"/>
      </w:r>
    </w:p>
    <w:p w:rsidR="00C85F3C" w:rsidRDefault="00C85F3C" w:rsidP="00C85F3C">
      <w:pPr>
        <w:pStyle w:val="Heading1"/>
      </w:pPr>
      <w:r>
        <w:t>The nature of money</w:t>
      </w:r>
    </w:p>
    <w:p w:rsidR="006531AE" w:rsidRDefault="00F01B3E" w:rsidP="00380929">
      <w:r>
        <w:t xml:space="preserve">The </w:t>
      </w:r>
      <w:proofErr w:type="spellStart"/>
      <w:r>
        <w:t>Circuitist</w:t>
      </w:r>
      <w:proofErr w:type="spellEnd"/>
      <w:r>
        <w:t xml:space="preserve"> School economist </w:t>
      </w:r>
      <w:proofErr w:type="spellStart"/>
      <w:r w:rsidR="00B65A96">
        <w:t>Graziani</w:t>
      </w:r>
      <w:proofErr w:type="spellEnd"/>
      <w:r w:rsidR="00E356F1">
        <w:t>, on the other hand, g</w:t>
      </w:r>
      <w:r w:rsidR="00E46464">
        <w:t>ave</w:t>
      </w:r>
      <w:r w:rsidR="00E356F1">
        <w:t xml:space="preserve"> good reasons why the </w:t>
      </w:r>
      <w:r w:rsidR="00B45D20">
        <w:t xml:space="preserve">aggregate </w:t>
      </w:r>
      <w:r w:rsidR="00E356F1">
        <w:t xml:space="preserve">level of </w:t>
      </w:r>
      <w:r w:rsidR="00B45D20">
        <w:t xml:space="preserve">private </w:t>
      </w:r>
      <w:r w:rsidR="00E356F1">
        <w:t>debt</w:t>
      </w:r>
      <w:r w:rsidR="00B65A96">
        <w:t xml:space="preserve"> does matter—and why banks, debt and money must therefor</w:t>
      </w:r>
      <w:r w:rsidR="009312E4">
        <w:t>e be included in macroeconomics. S</w:t>
      </w:r>
      <w:r w:rsidR="00B65A96">
        <w:t>tarting from first principles about what money is</w:t>
      </w:r>
      <w:r w:rsidR="006877D1">
        <w:t>—</w:t>
      </w:r>
      <w:r w:rsidR="00E46464">
        <w:t xml:space="preserve">in </w:t>
      </w:r>
      <w:r w:rsidR="009312E4">
        <w:t>order</w:t>
      </w:r>
      <w:r w:rsidR="00E46464">
        <w:t xml:space="preserve"> to delineate the differences between a barte</w:t>
      </w:r>
      <w:r w:rsidR="009312E4">
        <w:t>r system and a monetary economy</w:t>
      </w:r>
      <w:r w:rsidR="006877D1">
        <w:t>—</w:t>
      </w:r>
      <w:proofErr w:type="spellStart"/>
      <w:r w:rsidR="00B45D20">
        <w:t>Graziani</w:t>
      </w:r>
      <w:proofErr w:type="spellEnd"/>
      <w:r w:rsidR="00B65A96">
        <w:t xml:space="preserve"> argued that money cannot be treated as </w:t>
      </w:r>
      <w:r w:rsidR="00E46464">
        <w:t xml:space="preserve">a commodity since “an economy using as money a commodity coming out of a regular process of production, cannot be distinguished from a barter economy”.  This led to the first of three conditions for money, that “A true monetary economy </w:t>
      </w:r>
      <w:r w:rsidR="00E46464" w:rsidRPr="00E46464">
        <w:rPr>
          <w:i/>
        </w:rPr>
        <w:t>must therefore be using a token money</w:t>
      </w:r>
      <w:r w:rsidR="00E46464">
        <w:t>”.</w:t>
      </w:r>
    </w:p>
    <w:p w:rsidR="00B65A96" w:rsidRDefault="00E46464" w:rsidP="00380929">
      <w:r>
        <w:lastRenderedPageBreak/>
        <w:t>Secondly, to be money this token “</w:t>
      </w:r>
      <w:r w:rsidRPr="00E46464">
        <w:t xml:space="preserve">has to be accepted </w:t>
      </w:r>
      <w:r w:rsidRPr="00E46464">
        <w:rPr>
          <w:i/>
        </w:rPr>
        <w:t>as a means of final settlement</w:t>
      </w:r>
      <w:r>
        <w:t xml:space="preserve">”, to distinguish it from credit, in which goods are transferred in return for an enduring debt relationship between buyer and seller—as when “goods are traded </w:t>
      </w:r>
      <w:r w:rsidRPr="00E46464">
        <w:rPr>
          <w:i/>
        </w:rPr>
        <w:t>against promises of payment</w:t>
      </w:r>
      <w:r>
        <w:t xml:space="preserve"> such as bills of exchange”. Thirdly, money could not grant “an unlimited privilege of </w:t>
      </w:r>
      <w:proofErr w:type="spellStart"/>
      <w:r>
        <w:t>seignorage</w:t>
      </w:r>
      <w:proofErr w:type="spellEnd"/>
      <w:r>
        <w:t>” to the buyer.</w:t>
      </w:r>
      <w:r w:rsidR="006E2839">
        <w:t xml:space="preserve"> </w:t>
      </w:r>
      <w:proofErr w:type="spellStart"/>
      <w:r w:rsidR="00533A53">
        <w:t>Graziani</w:t>
      </w:r>
      <w:proofErr w:type="spellEnd"/>
      <w:r w:rsidR="00533A53">
        <w:t xml:space="preserve"> concluded that:</w:t>
      </w:r>
    </w:p>
    <w:p w:rsidR="00E356F1" w:rsidRDefault="00B65A96" w:rsidP="00380929">
      <w:pPr>
        <w:pStyle w:val="Quote"/>
      </w:pPr>
      <w:r>
        <w:t>The only way to satisfy those three conditions is to have payments made</w:t>
      </w:r>
      <w:r w:rsidRPr="006F04E1">
        <w:t xml:space="preserve"> by means of</w:t>
      </w:r>
      <w:r w:rsidRPr="008643CA">
        <w:rPr>
          <w:i/>
        </w:rPr>
        <w:t xml:space="preserve"> promises of a third agent</w:t>
      </w:r>
      <w:r>
        <w:t>,</w:t>
      </w:r>
      <w:r w:rsidR="00533A53">
        <w:t xml:space="preserve"> </w:t>
      </w:r>
      <w:r>
        <w:t>the typical third agent being nowadays a bank.</w:t>
      </w:r>
      <w:r w:rsidR="00533A53">
        <w:t xml:space="preserve"> </w:t>
      </w:r>
      <w:r>
        <w:t xml:space="preserve">When an agent makes a payment by means of a </w:t>
      </w:r>
      <w:proofErr w:type="spellStart"/>
      <w:r>
        <w:t>cheque</w:t>
      </w:r>
      <w:proofErr w:type="spellEnd"/>
      <w:r>
        <w:t>, he satisfies his partner by the promise of the bank to pay the amount due. Once the payment is made, no debt and credit relationships are left between the two agents.</w:t>
      </w:r>
      <w:r w:rsidR="00533A53">
        <w:t xml:space="preserve"> </w:t>
      </w:r>
      <w:r>
        <w:t>But one of them is now a creditor of the bank, while the second</w:t>
      </w:r>
      <w:r w:rsidR="00533A53">
        <w:t xml:space="preserve"> is a debtor of the same bank.” </w:t>
      </w:r>
      <w:r w:rsidR="00533A53">
        <w:fldChar w:fldCharType="begin"/>
      </w:r>
      <w:r w:rsidR="006F04E1">
        <w:instrText xml:space="preserve"> ADDIN EN.CITE &lt;EndNote&gt;&lt;Cite&gt;&lt;Author&gt;Graziani&lt;/Author&gt;&lt;Year&gt;1995&lt;/Year&gt;&lt;RecNum&gt;363&lt;/RecNum&gt;&lt;Suffix&gt;`, p. 518&lt;/Suffix&gt;&lt;DisplayText&gt;(Graziani 1995, p. 518)&lt;/DisplayText&gt;&lt;record&gt;&lt;rec-number&gt;363&lt;/rec-number&gt;&lt;foreign-keys&gt;&lt;key app="EN" db-id="avereev0mavvele2e0pvtaw6xzxpwd0tpdv5"&gt;363&lt;/key&gt;&lt;/foreign-keys&gt;&lt;ref-type name="Book Section"&gt;5&lt;/ref-type&gt;&lt;contributors&gt;&lt;authors&gt;&lt;author&gt;Graziani, Augusto&lt;/author&gt;&lt;/authors&gt;&lt;secondary-authors&gt;&lt;author&gt;Musella, Marco&lt;/author&gt;&lt;author&gt;Panico, Carlo&lt;/author&gt;&lt;/secondary-authors&gt;&lt;/contributors&gt;&lt;auth-address&gt;Unlisted&lt;/auth-address&gt;&lt;titles&gt;&lt;title&gt;The Theory of the Monetary Circuit&lt;/title&gt;&lt;secondary-title&gt;The money supply in the economic process: A Post Keynesian perspective&lt;/secondary-title&gt;&lt;/titles&gt;&lt;pages&gt;516-541&lt;/pages&gt;&lt;volume&gt;60&lt;/volume&gt;&lt;keywords&gt;&lt;keyword&gt;Money Supply&lt;/keyword&gt;&lt;keyword&gt;Credit&lt;/keyword&gt;&lt;keyword&gt;Money Multipliers E510&lt;/keyword&gt;&lt;keyword&gt;History of Thought: Quantitative and Mathematical B230&lt;/keyword&gt;&lt;keyword&gt;General Aggregative Models: Keynes&lt;/keyword&gt;&lt;keyword&gt;Keynesian&lt;/keyword&gt;&lt;keyword&gt;Post-Keynesian E120&lt;/keyword&gt;&lt;/keywords&gt;&lt;dates&gt;&lt;year&gt;1995&lt;/year&gt;&lt;/dates&gt;&lt;pub-location&gt;Aldershot, U.K&lt;/pub-location&gt;&lt;publisher&gt;Elgar Reference Collection. International Library of Critical Writings in Economics&lt;/publisher&gt;&lt;urls&gt;&lt;related-urls&gt;&lt;url&gt;http://search.ebscohost.com/login.aspx?direct=true&amp;amp;db=ecn&amp;amp;AN=0452442&amp;amp;site=ehost-live&lt;/url&gt;&lt;/related-urls&gt;&lt;/urls&gt;&lt;/record&gt;&lt;/Cite&gt;&lt;/EndNote&gt;</w:instrText>
      </w:r>
      <w:r w:rsidR="00533A53">
        <w:fldChar w:fldCharType="separate"/>
      </w:r>
      <w:r w:rsidR="006F04E1">
        <w:rPr>
          <w:noProof/>
        </w:rPr>
        <w:t>(</w:t>
      </w:r>
      <w:hyperlink w:anchor="_ENREF_10" w:tooltip="Graziani, 1995 #363" w:history="1">
        <w:r w:rsidR="00DD06E2">
          <w:rPr>
            <w:noProof/>
          </w:rPr>
          <w:t>Graziani 1995, p. 518</w:t>
        </w:r>
      </w:hyperlink>
      <w:r w:rsidR="006F04E1">
        <w:rPr>
          <w:noProof/>
        </w:rPr>
        <w:t>)</w:t>
      </w:r>
      <w:r w:rsidR="00533A53">
        <w:fldChar w:fldCharType="end"/>
      </w:r>
    </w:p>
    <w:p w:rsidR="008E74B1" w:rsidRDefault="00F61624" w:rsidP="00380929">
      <w:r>
        <w:t xml:space="preserve">This makes banks an essential part of economics, since any monetary payment “must therefore be a </w:t>
      </w:r>
      <w:r w:rsidRPr="004C77DF">
        <w:rPr>
          <w:i/>
        </w:rPr>
        <w:t>triangular transaction</w:t>
      </w:r>
      <w:r>
        <w:t xml:space="preserve">, involving at least three agents, the payer, the payee, and the bank”. In combination with the Post Keynesian </w:t>
      </w:r>
      <w:r w:rsidR="0075554B">
        <w:t>proposition that</w:t>
      </w:r>
      <w:r>
        <w:t xml:space="preserve"> </w:t>
      </w:r>
      <w:r w:rsidR="00345E59">
        <w:t xml:space="preserve">bank </w:t>
      </w:r>
      <w:r w:rsidR="0075554B">
        <w:t>loans create deposits</w:t>
      </w:r>
      <w:r>
        <w:t xml:space="preserve"> </w:t>
      </w:r>
      <w:r>
        <w:fldChar w:fldCharType="begin"/>
      </w:r>
      <w:r>
        <w:instrText xml:space="preserve"> ADDIN EN.CITE &lt;EndNote&gt;&lt;Cite&gt;&lt;Author&gt;Moore&lt;/Author&gt;&lt;Year&gt;1979&lt;/Year&gt;&lt;RecNum&gt;1452&lt;/RecNum&gt;&lt;DisplayText&gt;(Moore 1979)&lt;/DisplayText&gt;&lt;record&gt;&lt;rec-number&gt;1452&lt;/rec-number&gt;&lt;foreign-keys&gt;&lt;key app="EN" db-id="avereev0mavvele2e0pvtaw6xzxpwd0tpdv5"&gt;1452&lt;/key&gt;&lt;/foreign-keys&gt;&lt;ref-type name="Journal Article"&gt;17&lt;/ref-type&gt;&lt;contributors&gt;&lt;authors&gt;&lt;author&gt;Moore, Basil J.&lt;/author&gt;&lt;/authors&gt;&lt;/contributors&gt;&lt;titles&gt;&lt;title&gt;The Endogenous Money Stock&lt;/title&gt;&lt;secondary-title&gt;Journal of Post Keynesian Economics&lt;/secondary-title&gt;&lt;/titles&gt;&lt;periodical&gt;&lt;full-title&gt;Journal of Post Keynesian Economics&lt;/full-title&gt;&lt;/periodical&gt;&lt;pages&gt;49-70&lt;/pages&gt;&lt;volume&gt;2&lt;/volume&gt;&lt;number&gt;1&lt;/number&gt;&lt;keywords&gt;&lt;keyword&gt;Domestic Monetary Theory and Policy 3110&lt;/keyword&gt;&lt;/keywords&gt;&lt;dates&gt;&lt;year&gt;1979&lt;/year&gt;&lt;pub-dates&gt;&lt;date&gt;Fall&lt;/date&gt;&lt;/pub-dates&gt;&lt;/dates&gt;&lt;isbn&gt;01603477&lt;/isbn&gt;&lt;accession-num&gt;0114652&lt;/accession-num&gt;&lt;urls&gt;&lt;related-urls&gt;&lt;url&gt;http://ezproxy.uws.edu.au/login?url=http://search.ebscohost.com/login.aspx?direct=true&amp;amp;db=ecn&amp;amp;AN=0114652&amp;amp;site=ehost-live&amp;amp;scope=site&lt;/url&gt;&lt;url&gt;http://www.mesharpe.com/mall/results1.asp?ACR=PKE&lt;/url&gt;&lt;/related-urls&gt;&lt;/urls&gt;&lt;electronic-resource-num&gt;http://www.mesharpe.com/mall/results1.asp?ACR=PKE&lt;/electronic-resource-num&gt;&lt;remote-database-name&gt;ecn&lt;/remote-database-name&gt;&lt;remote-database-provider&gt;EBSCOhost&lt;/remote-database-provider&gt;&lt;/record&gt;&lt;/Cite&gt;&lt;/EndNote&gt;</w:instrText>
      </w:r>
      <w:r>
        <w:fldChar w:fldCharType="separate"/>
      </w:r>
      <w:r>
        <w:rPr>
          <w:noProof/>
        </w:rPr>
        <w:t>(</w:t>
      </w:r>
      <w:hyperlink w:anchor="_ENREF_20" w:tooltip="Moore, 1979 #1452" w:history="1">
        <w:r w:rsidR="00DD06E2">
          <w:rPr>
            <w:noProof/>
          </w:rPr>
          <w:t>Moore 1979</w:t>
        </w:r>
      </w:hyperlink>
      <w:r>
        <w:rPr>
          <w:noProof/>
        </w:rPr>
        <w:t>)</w:t>
      </w:r>
      <w:r>
        <w:fldChar w:fldCharType="end"/>
      </w:r>
      <w:r>
        <w:t xml:space="preserve">, </w:t>
      </w:r>
      <w:proofErr w:type="spellStart"/>
      <w:r>
        <w:t>Graziani’s</w:t>
      </w:r>
      <w:proofErr w:type="spellEnd"/>
      <w:r>
        <w:t xml:space="preserve"> vision of a monetary economy </w:t>
      </w:r>
      <w:r w:rsidR="00345E59">
        <w:t>gives a good reason</w:t>
      </w:r>
      <w:r>
        <w:t xml:space="preserve"> why the level of debt does matter for macroeconomics at all times—</w:t>
      </w:r>
      <w:r w:rsidR="00345E59">
        <w:t xml:space="preserve">and </w:t>
      </w:r>
      <w:r>
        <w:t xml:space="preserve">not only during a “Liquidity Trap” </w:t>
      </w:r>
      <w:r>
        <w:fldChar w:fldCharType="begin"/>
      </w:r>
      <w:r>
        <w:instrText xml:space="preserve"> ADDIN EN.CITE &lt;EndNote&gt;&lt;Cite&gt;&lt;Author&gt;Eggertsson&lt;/Author&gt;&lt;Year&gt;2012&lt;/Year&gt;&lt;RecNum&gt;4635&lt;/RecNum&gt;&lt;Suffix&gt;`, p. 1477&lt;/Suffix&gt;&lt;DisplayText&gt;(Eggertsson and Krugman 2012, p. 1477)&lt;/DisplayText&gt;&lt;record&gt;&lt;rec-number&gt;4635&lt;/rec-number&gt;&lt;foreign-keys&gt;&lt;key app="EN" db-id="avereev0mavvele2e0pvtaw6xzxpwd0tpdv5"&gt;4635&lt;/key&gt;&lt;/foreign-keys&gt;&lt;ref-type name="Journal Article"&gt;17&lt;/ref-type&gt;&lt;contributors&gt;&lt;authors&gt;&lt;author&gt;Eggertsson, Gauti B.&lt;/author&gt;&lt;author&gt;Krugman, Paul&lt;/author&gt;&lt;/authors&gt;&lt;/contributors&gt;&lt;titles&gt;&lt;title&gt;Debt, Deleveraging, and the Liquidity Trap: A Fisher-Minsky-Koo approach&lt;/title&gt;&lt;secondary-title&gt;Quarterly Journal of Economics&lt;/secondary-title&gt;&lt;/titles&gt;&lt;periodical&gt;&lt;full-title&gt;Quarterly Journal of Economics&lt;/full-title&gt;&lt;/periodical&gt;&lt;pages&gt;1469–1513&lt;/pages&gt;&lt;volume&gt;127&lt;/volume&gt;&lt;dates&gt;&lt;year&gt;2012&lt;/year&gt;&lt;/dates&gt;&lt;urls&gt;&lt;related-urls&gt;&lt;url&gt;http://qje.oxfordjournals.org/content/127/3.toc&lt;/url&gt;&lt;/related-urls&gt;&lt;/urls&gt;&lt;electronic-resource-num&gt;doi:10.1093/qje/qjs023&lt;/electronic-resource-num&gt;&lt;/record&gt;&lt;/Cite&gt;&lt;/EndNote&gt;</w:instrText>
      </w:r>
      <w:r>
        <w:fldChar w:fldCharType="separate"/>
      </w:r>
      <w:r>
        <w:rPr>
          <w:noProof/>
        </w:rPr>
        <w:t>(</w:t>
      </w:r>
      <w:hyperlink w:anchor="_ENREF_6" w:tooltip="Eggertsson, 2012 #4635" w:history="1">
        <w:r w:rsidR="00DD06E2">
          <w:rPr>
            <w:noProof/>
          </w:rPr>
          <w:t>Eggertsson and Krugman 2012, p. 1477</w:t>
        </w:r>
      </w:hyperlink>
      <w:r>
        <w:rPr>
          <w:noProof/>
        </w:rPr>
        <w:t>)</w:t>
      </w:r>
      <w:r>
        <w:fldChar w:fldCharType="end"/>
      </w:r>
      <w:r w:rsidR="004C77DF">
        <w:t xml:space="preserve">. </w:t>
      </w:r>
      <w:r w:rsidR="00BC75C2">
        <w:t>The stock of money in circulation is the sum of the liabilities of the banking sector to the rest of the economy</w:t>
      </w:r>
      <w:r w:rsidR="0075554B">
        <w:t>,</w:t>
      </w:r>
      <w:r w:rsidR="002B5C84">
        <w:rPr>
          <w:rStyle w:val="FootnoteReference"/>
        </w:rPr>
        <w:footnoteReference w:id="1"/>
      </w:r>
      <w:r w:rsidR="0075554B">
        <w:t xml:space="preserve"> and an increase in the level of debt causes an </w:t>
      </w:r>
      <w:r w:rsidR="00920F47">
        <w:t xml:space="preserve">equivalent </w:t>
      </w:r>
      <w:r w:rsidR="0075554B">
        <w:t>increase in the amount of money in circulation.</w:t>
      </w:r>
      <w:r w:rsidR="00345E59">
        <w:t xml:space="preserve"> In contrast, the New Keynesian </w:t>
      </w:r>
      <w:r w:rsidR="009C5279">
        <w:t xml:space="preserve">bank-less </w:t>
      </w:r>
      <w:r w:rsidR="00345E59">
        <w:t>vision of lending cannot cause a change in the stock of money</w:t>
      </w:r>
      <w:r w:rsidR="00171A6F">
        <w:t xml:space="preserve"> (even if money as they might define it were included in </w:t>
      </w:r>
      <w:r w:rsidR="00C85F3C">
        <w:t>their models, which it is not!).</w:t>
      </w:r>
    </w:p>
    <w:p w:rsidR="00C85F3C" w:rsidRDefault="00C85F3C" w:rsidP="00C85F3C">
      <w:pPr>
        <w:pStyle w:val="Heading1"/>
      </w:pPr>
      <w:r>
        <w:t>Comparing Loanable Funds and Endogenous Money</w:t>
      </w:r>
    </w:p>
    <w:p w:rsidR="00E26887" w:rsidRDefault="00E26887" w:rsidP="00380929">
      <w:r>
        <w:t xml:space="preserve">The difference between the New Keynesian “Loanable Funds” vision of lending and the Post Keynesian “Endogenous Money” vision can easily be illustrated in </w:t>
      </w:r>
      <w:r w:rsidR="00BB02FC">
        <w:t xml:space="preserve">my </w:t>
      </w:r>
      <w:r w:rsidR="0093717A">
        <w:t xml:space="preserve">Open Source </w:t>
      </w:r>
      <w:r>
        <w:t xml:space="preserve">monetary macroeconomic modeling program </w:t>
      </w:r>
      <w:hyperlink r:id="rId8" w:history="1">
        <w:proofErr w:type="spellStart"/>
        <w:r w:rsidRPr="00E26887">
          <w:rPr>
            <w:rStyle w:val="Hyperlink"/>
            <w:b/>
            <w:i/>
          </w:rPr>
          <w:t>Minsky</w:t>
        </w:r>
        <w:proofErr w:type="spellEnd"/>
      </w:hyperlink>
      <w:r>
        <w:t>.</w:t>
      </w:r>
      <w:r w:rsidR="00BB02FC">
        <w:t xml:space="preserve">(the development of which has been funded by both INET and crowd funding via </w:t>
      </w:r>
      <w:proofErr w:type="spellStart"/>
      <w:r w:rsidR="00BB02FC">
        <w:t>Kickstarter</w:t>
      </w:r>
      <w:proofErr w:type="spellEnd"/>
      <w:r w:rsidR="00BB02FC">
        <w:t>).</w:t>
      </w:r>
      <w:r w:rsidR="00380929">
        <w:t xml:space="preserve"> </w:t>
      </w:r>
      <w:r w:rsidR="002B5C84">
        <w:t>New Keynesians portray lending as a transfer of existing money between “Patient” and “Impatient” agents:</w:t>
      </w:r>
    </w:p>
    <w:p w:rsidR="002B5C84" w:rsidRDefault="002B5C84" w:rsidP="00380929">
      <w:pPr>
        <w:pStyle w:val="Quote"/>
      </w:pPr>
      <w:proofErr w:type="gramStart"/>
      <w:r w:rsidRPr="002B5C84">
        <w:rPr>
          <w:i/>
        </w:rPr>
        <w:t>when</w:t>
      </w:r>
      <w:proofErr w:type="gramEnd"/>
      <w:r w:rsidRPr="002B5C84">
        <w:rPr>
          <w:i/>
        </w:rPr>
        <w:t xml:space="preserve"> debt is rising, it’s not the economy as a whole borrowing more money</w:t>
      </w:r>
      <w:r>
        <w:t xml:space="preserve">. It is, rather, a case of less patient people … borrowing from more patient people. The main limit on this kind of borrowing is the concern of those patient lenders about whether they will be repaid, which sets some kind of ceiling on each individual’s ability to borrow.” </w:t>
      </w:r>
      <w:r>
        <w:fldChar w:fldCharType="begin"/>
      </w:r>
      <w:r>
        <w:instrText xml:space="preserve"> ADDIN EN.CITE &lt;EndNote&gt;&lt;Cite&gt;&lt;Author&gt;Krugman&lt;/Author&gt;&lt;Year&gt;2012&lt;/Year&gt;&lt;RecNum&gt;4110&lt;/RecNum&gt;&lt;Suffix&gt;`, pp. 146-147`, emphasis added&lt;/Suffix&gt;&lt;DisplayText&gt;(Krugman 2012, pp. 146-147, emphasis added)&lt;/DisplayText&gt;&lt;record&gt;&lt;rec-number&gt;4110&lt;/rec-number&gt;&lt;foreign-keys&gt;&lt;key app="EN" db-id="avereev0mavvele2e0pvtaw6xzxpwd0tpdv5"&gt;4110&lt;/key&gt;&lt;/foreign-keys&gt;&lt;ref-type name="Book"&gt;6&lt;/ref-type&gt;&lt;contributors&gt;&lt;authors&gt;&lt;author&gt;Krugman, Paul&lt;/author&gt;&lt;/authors&gt;&lt;/contributors&gt;&lt;titles&gt;&lt;title&gt;End this Depression Now!&lt;/title&gt;&lt;/titles&gt;&lt;dates&gt;&lt;year&gt;2012&lt;/year&gt;&lt;/dates&gt;&lt;pub-location&gt;New York&lt;/pub-location&gt;&lt;publisher&gt;W.W. Norton&lt;/publisher&gt;&lt;isbn&gt;978-0-393-08877-9&lt;/isbn&gt;&lt;urls&gt;&lt;/urls&gt;&lt;/record&gt;&lt;/Cite&gt;&lt;/EndNote&gt;</w:instrText>
      </w:r>
      <w:r>
        <w:fldChar w:fldCharType="separate"/>
      </w:r>
      <w:r>
        <w:rPr>
          <w:noProof/>
        </w:rPr>
        <w:t>(</w:t>
      </w:r>
      <w:hyperlink w:anchor="_ENREF_18" w:tooltip="Krugman, 2012 #4110" w:history="1">
        <w:r w:rsidR="00DD06E2">
          <w:rPr>
            <w:noProof/>
          </w:rPr>
          <w:t>Krugman 2012, pp. 146-147, emphasis added</w:t>
        </w:r>
      </w:hyperlink>
      <w:r>
        <w:rPr>
          <w:noProof/>
        </w:rPr>
        <w:t>)</w:t>
      </w:r>
      <w:r>
        <w:fldChar w:fldCharType="end"/>
      </w:r>
    </w:p>
    <w:p w:rsidR="002B5C84" w:rsidRDefault="002B5C84" w:rsidP="00380929">
      <w:r>
        <w:t xml:space="preserve">This can be modeled in a monetary economy </w:t>
      </w:r>
      <w:r w:rsidR="00583661">
        <w:t>(</w:t>
      </w:r>
      <w:r w:rsidR="00A301D6">
        <w:t xml:space="preserve">as </w:t>
      </w:r>
      <w:proofErr w:type="spellStart"/>
      <w:r w:rsidR="00A301D6">
        <w:t>Graziani</w:t>
      </w:r>
      <w:proofErr w:type="spellEnd"/>
      <w:r w:rsidR="00A301D6">
        <w:t xml:space="preserve"> defines it</w:t>
      </w:r>
      <w:r w:rsidR="00583661">
        <w:t>)</w:t>
      </w:r>
      <w:r w:rsidR="00A301D6">
        <w:t xml:space="preserve"> </w:t>
      </w:r>
      <w:r>
        <w:t xml:space="preserve">by </w:t>
      </w:r>
      <w:r w:rsidR="00A301D6">
        <w:t>modeling not bank lending, but lending between different agents</w:t>
      </w:r>
      <w:r w:rsidR="00583661">
        <w:t xml:space="preserve"> on the Liability side of the banking system’s ledger</w:t>
      </w:r>
      <w:r w:rsidR="00A301D6">
        <w:t xml:space="preserve">. Using </w:t>
      </w:r>
      <w:proofErr w:type="spellStart"/>
      <w:r w:rsidR="00752F0B" w:rsidRPr="00752F0B">
        <w:t>Eggertsson</w:t>
      </w:r>
      <w:proofErr w:type="spellEnd"/>
      <w:r w:rsidR="00752F0B" w:rsidRPr="00752F0B">
        <w:t xml:space="preserve"> </w:t>
      </w:r>
      <w:r w:rsidR="00752F0B" w:rsidRPr="00752F0B">
        <w:lastRenderedPageBreak/>
        <w:t xml:space="preserve">and </w:t>
      </w:r>
      <w:proofErr w:type="spellStart"/>
      <w:r w:rsidR="00752F0B" w:rsidRPr="00752F0B">
        <w:t>Krugman</w:t>
      </w:r>
      <w:r w:rsidR="00752F0B">
        <w:t>’s</w:t>
      </w:r>
      <w:proofErr w:type="spellEnd"/>
      <w:r w:rsidR="00752F0B">
        <w:t xml:space="preserve"> terminology,</w:t>
      </w:r>
      <w:r w:rsidR="00752F0B" w:rsidRPr="00752F0B">
        <w:t xml:space="preserve"> </w:t>
      </w:r>
      <w:r>
        <w:t xml:space="preserve">“Patient” agents </w:t>
      </w:r>
      <w:r w:rsidR="00752F0B">
        <w:t>lend by transfer</w:t>
      </w:r>
      <w:r w:rsidR="00583661">
        <w:t>ring</w:t>
      </w:r>
      <w:r>
        <w:t xml:space="preserve"> some of the banking sector’s liabilities (their deposits) to </w:t>
      </w:r>
      <w:r w:rsidR="001B20A7">
        <w:t>“</w:t>
      </w:r>
      <w:r>
        <w:t>Impatient</w:t>
      </w:r>
      <w:r w:rsidR="001B20A7">
        <w:t>”</w:t>
      </w:r>
      <w:r>
        <w:t xml:space="preserve"> agents</w:t>
      </w:r>
      <w:r w:rsidR="008B2842">
        <w:t xml:space="preserve"> (see </w:t>
      </w:r>
      <w:r w:rsidR="008B2842">
        <w:fldChar w:fldCharType="begin"/>
      </w:r>
      <w:r w:rsidR="008B2842">
        <w:instrText xml:space="preserve"> REF _Ref356062938 \h </w:instrText>
      </w:r>
      <w:r w:rsidR="008B2842">
        <w:fldChar w:fldCharType="separate"/>
      </w:r>
      <w:r w:rsidR="00E27138">
        <w:t xml:space="preserve">Figure </w:t>
      </w:r>
      <w:r w:rsidR="00E27138">
        <w:rPr>
          <w:noProof/>
        </w:rPr>
        <w:t>1</w:t>
      </w:r>
      <w:r w:rsidR="008B2842">
        <w:fldChar w:fldCharType="end"/>
      </w:r>
      <w:r w:rsidR="008B2842">
        <w:t>)</w:t>
      </w:r>
      <w:r w:rsidR="00380929">
        <w:t xml:space="preserve">. </w:t>
      </w:r>
    </w:p>
    <w:p w:rsidR="006A6303" w:rsidRDefault="006A6303" w:rsidP="00380929">
      <w:pPr>
        <w:pStyle w:val="Caption"/>
      </w:pPr>
      <w:bookmarkStart w:id="0" w:name="_Ref356062938"/>
      <w:r>
        <w:t xml:space="preserve">Figure </w:t>
      </w:r>
      <w:r w:rsidR="008506CF">
        <w:fldChar w:fldCharType="begin"/>
      </w:r>
      <w:r w:rsidR="008506CF">
        <w:instrText xml:space="preserve"> SEQ Figure \* ARABIC </w:instrText>
      </w:r>
      <w:r w:rsidR="008506CF">
        <w:fldChar w:fldCharType="separate"/>
      </w:r>
      <w:r w:rsidR="00E27138">
        <w:rPr>
          <w:noProof/>
        </w:rPr>
        <w:t>1</w:t>
      </w:r>
      <w:r w:rsidR="008506CF">
        <w:rPr>
          <w:noProof/>
        </w:rPr>
        <w:fldChar w:fldCharType="end"/>
      </w:r>
      <w:bookmarkEnd w:id="0"/>
      <w:r>
        <w:t>: Loanable Funds as transfer of bank liabilities from Patient to Impatient Agents</w:t>
      </w:r>
    </w:p>
    <w:p w:rsidR="006A6303" w:rsidRDefault="006167B6" w:rsidP="00380929">
      <w:r>
        <w:rPr>
          <w:noProof/>
          <w:lang w:val="en-AU" w:eastAsia="en-AU"/>
        </w:rPr>
        <w:drawing>
          <wp:inline distT="0" distB="0" distL="0" distR="0" wp14:anchorId="5C8376FA" wp14:editId="3A784A3C">
            <wp:extent cx="5943600" cy="33026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3302635"/>
                    </a:xfrm>
                    <a:prstGeom prst="rect">
                      <a:avLst/>
                    </a:prstGeom>
                  </pic:spPr>
                </pic:pic>
              </a:graphicData>
            </a:graphic>
          </wp:inline>
        </w:drawing>
      </w:r>
    </w:p>
    <w:p w:rsidR="0093717A" w:rsidRDefault="00DE0BC6" w:rsidP="008C5962">
      <w:r>
        <w:fldChar w:fldCharType="begin"/>
      </w:r>
      <w:r>
        <w:instrText xml:space="preserve"> REF _Ref356062938 \h </w:instrText>
      </w:r>
      <w:r>
        <w:fldChar w:fldCharType="separate"/>
      </w:r>
      <w:r w:rsidR="00E27138">
        <w:t xml:space="preserve">Figure </w:t>
      </w:r>
      <w:r w:rsidR="00E27138">
        <w:rPr>
          <w:noProof/>
        </w:rPr>
        <w:t>1</w:t>
      </w:r>
      <w:r>
        <w:fldChar w:fldCharType="end"/>
      </w:r>
      <w:r>
        <w:t xml:space="preserve"> uses the</w:t>
      </w:r>
      <w:r w:rsidR="0093717A">
        <w:t xml:space="preserve"> financial accounting </w:t>
      </w:r>
      <w:r w:rsidR="00FF2187">
        <w:t>component</w:t>
      </w:r>
      <w:r w:rsidR="0093717A">
        <w:t xml:space="preserve"> of </w:t>
      </w:r>
      <w:proofErr w:type="spellStart"/>
      <w:r w:rsidR="0093717A" w:rsidRPr="00AB484B">
        <w:rPr>
          <w:b/>
          <w:i/>
        </w:rPr>
        <w:t>Minsky</w:t>
      </w:r>
      <w:proofErr w:type="spellEnd"/>
      <w:r w:rsidR="0093717A">
        <w:t>—known as the “Godley Table”—</w:t>
      </w:r>
      <w:r>
        <w:t xml:space="preserve">which </w:t>
      </w:r>
      <w:r w:rsidR="0093717A">
        <w:t xml:space="preserve">follows the double-entry accounting conventions that any agent’s assets are shown as positive amounts while liabilities are shown as negatives. Since we are looking at this system from the perspective of the Banking sector, Reserves and Loans are shown as positive, while Liabilities and Equity are shown as negative. A transfer of liabilities from Patient to Impatient agents therefore involves a positive entry in Patient’s account, which reduces the Banking sector’s liabilities to Patient, and a negative entry in </w:t>
      </w:r>
      <w:proofErr w:type="spellStart"/>
      <w:r w:rsidR="0093717A">
        <w:t>Impatient’s</w:t>
      </w:r>
      <w:proofErr w:type="spellEnd"/>
      <w:r w:rsidR="0093717A">
        <w:t>, which increases the Banking sector’s liabilities to Impatient.</w:t>
      </w:r>
    </w:p>
    <w:p w:rsidR="008B2842" w:rsidRDefault="008B2842" w:rsidP="008C5962">
      <w:r>
        <w:t xml:space="preserve">The equations of motion of this system are shown in </w:t>
      </w:r>
      <w:proofErr w:type="gramStart"/>
      <w:r>
        <w:t xml:space="preserve">Equation </w:t>
      </w:r>
      <w:proofErr w:type="gramEnd"/>
      <w:r>
        <w:fldChar w:fldCharType="begin"/>
      </w:r>
      <w:r>
        <w:instrText xml:space="preserve"> GOTOBUTTON ZEqnNum240237  \* MERGEFORMAT </w:instrText>
      </w:r>
      <w:r w:rsidR="008506CF">
        <w:fldChar w:fldCharType="begin"/>
      </w:r>
      <w:r w:rsidR="008506CF">
        <w:instrText xml:space="preserve"> REF ZEqnNum240237 \* Charformat \! \* MERGEFORMAT </w:instrText>
      </w:r>
      <w:r w:rsidR="008506CF">
        <w:fldChar w:fldCharType="separate"/>
      </w:r>
      <w:r w:rsidR="00E27138">
        <w:instrText>(1.1)</w:instrText>
      </w:r>
      <w:r w:rsidR="008506CF">
        <w:fldChar w:fldCharType="end"/>
      </w:r>
      <w:r>
        <w:fldChar w:fldCharType="end"/>
      </w:r>
      <w:r w:rsidR="00380929">
        <w:t>.</w:t>
      </w:r>
      <w:r w:rsidR="008C5962">
        <w:rPr>
          <w:rStyle w:val="FootnoteReference"/>
        </w:rPr>
        <w:footnoteReference w:id="2"/>
      </w:r>
      <w:r w:rsidR="00380929">
        <w:t xml:space="preserve"> </w:t>
      </w:r>
      <w:r w:rsidR="008C5962">
        <w:t xml:space="preserve"> O</w:t>
      </w:r>
      <w:r>
        <w:t>bviously</w:t>
      </w:r>
      <w:r w:rsidR="00DE0BC6">
        <w:t>,</w:t>
      </w:r>
      <w:r>
        <w:t xml:space="preserve"> </w:t>
      </w:r>
      <w:r w:rsidR="0093717A">
        <w:t xml:space="preserve">bank-less </w:t>
      </w:r>
      <w:r>
        <w:t xml:space="preserve">lending does not alter the amount </w:t>
      </w:r>
      <w:r w:rsidRPr="00380929">
        <w:t>of</w:t>
      </w:r>
      <w:r>
        <w:t xml:space="preserve"> money in existence:</w:t>
      </w:r>
      <w:r w:rsidR="00AB484B">
        <w:t xml:space="preserve"> lending and repayment simply transfer the existing stock of money between the two classes of agents:</w:t>
      </w:r>
    </w:p>
    <w:p w:rsidR="008B2842" w:rsidRPr="002B5C84" w:rsidRDefault="008B2842" w:rsidP="00380929">
      <w:pPr>
        <w:pStyle w:val="MTDisplayEquation"/>
      </w:pPr>
      <w:r>
        <w:lastRenderedPageBreak/>
        <w:tab/>
      </w:r>
      <w:r w:rsidR="0005518E" w:rsidRPr="0005518E">
        <w:rPr>
          <w:position w:val="-218"/>
        </w:rPr>
        <w:object w:dxaOrig="3220" w:dyaOrig="3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3pt;height:181.35pt" o:ole="">
            <v:imagedata r:id="rId10" o:title=""/>
          </v:shape>
          <o:OLEObject Type="Embed" ProgID="Equation.DSMT4" ShapeID="_x0000_i1025" DrawAspect="Content" ObjectID="_1431228544" r:id="rId11"/>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 w:name="ZEqnNum240237"/>
      <w:r>
        <w:instrText>(</w:instrText>
      </w:r>
      <w:fldSimple w:instr=" SEQ MTSec \c \* Arabic \* MERGEFORMAT ">
        <w:r w:rsidR="00E27138">
          <w:rPr>
            <w:noProof/>
          </w:rPr>
          <w:instrText>1</w:instrText>
        </w:r>
      </w:fldSimple>
      <w:r>
        <w:instrText>.</w:instrText>
      </w:r>
      <w:fldSimple w:instr=" SEQ MTEqn \c \* Arabic \* MERGEFORMAT ">
        <w:r w:rsidR="00E27138">
          <w:rPr>
            <w:noProof/>
          </w:rPr>
          <w:instrText>1</w:instrText>
        </w:r>
      </w:fldSimple>
      <w:r>
        <w:instrText>)</w:instrText>
      </w:r>
      <w:bookmarkEnd w:id="1"/>
      <w:r>
        <w:fldChar w:fldCharType="end"/>
      </w:r>
    </w:p>
    <w:p w:rsidR="00E356F1" w:rsidRDefault="00380929" w:rsidP="00380929">
      <w:r>
        <w:t>Graziani instead sees lending as occurring between the Bank</w:t>
      </w:r>
      <w:r w:rsidR="00AB484B">
        <w:t>ing sector and the Firm sector (</w:t>
      </w:r>
      <w:r>
        <w:t xml:space="preserve">with the </w:t>
      </w:r>
      <w:r w:rsidR="00AB484B">
        <w:t xml:space="preserve">firm sector’s </w:t>
      </w:r>
      <w:r>
        <w:t xml:space="preserve">objective </w:t>
      </w:r>
      <w:r w:rsidR="00AB484B">
        <w:t>in</w:t>
      </w:r>
      <w:r>
        <w:t xml:space="preserve"> borrowing money being to hire workers to work in </w:t>
      </w:r>
      <w:r w:rsidR="00AB484B">
        <w:t xml:space="preserve">its </w:t>
      </w:r>
      <w:r>
        <w:t>factories</w:t>
      </w:r>
      <w:r w:rsidR="00AB484B">
        <w:t>)</w:t>
      </w:r>
      <w:r>
        <w:t xml:space="preserve">. Portraying simply lending and repayment of loans in this model yields </w:t>
      </w:r>
      <w:r>
        <w:fldChar w:fldCharType="begin"/>
      </w:r>
      <w:r>
        <w:instrText xml:space="preserve"> REF _Ref356065103 \h </w:instrText>
      </w:r>
      <w:r>
        <w:fldChar w:fldCharType="separate"/>
      </w:r>
      <w:r w:rsidR="00E27138">
        <w:t xml:space="preserve">Figure </w:t>
      </w:r>
      <w:r w:rsidR="00E27138">
        <w:rPr>
          <w:noProof/>
        </w:rPr>
        <w:t>2</w:t>
      </w:r>
      <w:r>
        <w:fldChar w:fldCharType="end"/>
      </w:r>
      <w:r>
        <w:t xml:space="preserve"> and </w:t>
      </w:r>
      <w:proofErr w:type="gramStart"/>
      <w:r>
        <w:t xml:space="preserve">Equation </w:t>
      </w:r>
      <w:proofErr w:type="gramEnd"/>
      <w:r>
        <w:fldChar w:fldCharType="begin"/>
      </w:r>
      <w:r>
        <w:instrText xml:space="preserve"> GOTOBUTTON ZEqnNum211462  \* MERGEFORMAT </w:instrText>
      </w:r>
      <w:r w:rsidR="008506CF">
        <w:fldChar w:fldCharType="begin"/>
      </w:r>
      <w:r w:rsidR="008506CF">
        <w:instrText xml:space="preserve"> REF ZEqnNum211462 \* Charformat \! \* MERGEFORMAT </w:instrText>
      </w:r>
      <w:r w:rsidR="008506CF">
        <w:fldChar w:fldCharType="separate"/>
      </w:r>
      <w:r w:rsidR="00E27138">
        <w:instrText>(1.2)</w:instrText>
      </w:r>
      <w:r w:rsidR="008506CF">
        <w:fldChar w:fldCharType="end"/>
      </w:r>
      <w:r>
        <w:fldChar w:fldCharType="end"/>
      </w:r>
      <w:r w:rsidR="008C5962">
        <w:t>.</w:t>
      </w:r>
    </w:p>
    <w:p w:rsidR="00380929" w:rsidRDefault="00380929" w:rsidP="00380929">
      <w:pPr>
        <w:pStyle w:val="Caption"/>
        <w:keepNext/>
      </w:pPr>
      <w:bookmarkStart w:id="2" w:name="_Ref356065103"/>
      <w:r>
        <w:t xml:space="preserve">Figure </w:t>
      </w:r>
      <w:r w:rsidR="008506CF">
        <w:fldChar w:fldCharType="begin"/>
      </w:r>
      <w:r w:rsidR="008506CF">
        <w:instrText xml:space="preserve"> SEQ Figure \* ARABIC </w:instrText>
      </w:r>
      <w:r w:rsidR="008506CF">
        <w:fldChar w:fldCharType="separate"/>
      </w:r>
      <w:r w:rsidR="00E27138">
        <w:rPr>
          <w:noProof/>
        </w:rPr>
        <w:t>2</w:t>
      </w:r>
      <w:r w:rsidR="008506CF">
        <w:rPr>
          <w:noProof/>
        </w:rPr>
        <w:fldChar w:fldCharType="end"/>
      </w:r>
      <w:bookmarkEnd w:id="2"/>
      <w:r>
        <w:t>: Endogenous money as lending by</w:t>
      </w:r>
      <w:r w:rsidR="00ED642C">
        <w:t xml:space="preserve"> the</w:t>
      </w:r>
      <w:r>
        <w:t xml:space="preserve"> Banking</w:t>
      </w:r>
      <w:r>
        <w:rPr>
          <w:noProof/>
        </w:rPr>
        <w:t xml:space="preserve"> sector to </w:t>
      </w:r>
      <w:r w:rsidR="00ED642C">
        <w:rPr>
          <w:noProof/>
        </w:rPr>
        <w:t xml:space="preserve">the </w:t>
      </w:r>
      <w:r>
        <w:rPr>
          <w:noProof/>
        </w:rPr>
        <w:t>Firm sector</w:t>
      </w:r>
    </w:p>
    <w:p w:rsidR="00380929" w:rsidRDefault="00380929" w:rsidP="00380929">
      <w:r>
        <w:rPr>
          <w:noProof/>
          <w:lang w:val="en-AU" w:eastAsia="en-AU"/>
        </w:rPr>
        <w:drawing>
          <wp:inline distT="0" distB="0" distL="0" distR="0">
            <wp:extent cx="5943600" cy="3305175"/>
            <wp:effectExtent l="0" t="0" r="0" b="9525"/>
            <wp:docPr id="2" name="Picture 2" descr="D:\economic\Conferences\2013\Croatia\EndogenousMoney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conomic\Conferences\2013\Croatia\EndogenousMoney0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305175"/>
                    </a:xfrm>
                    <a:prstGeom prst="rect">
                      <a:avLst/>
                    </a:prstGeom>
                    <a:noFill/>
                    <a:ln>
                      <a:noFill/>
                    </a:ln>
                  </pic:spPr>
                </pic:pic>
              </a:graphicData>
            </a:graphic>
          </wp:inline>
        </w:drawing>
      </w:r>
    </w:p>
    <w:p w:rsidR="00380929" w:rsidRDefault="008C5962" w:rsidP="00380929">
      <w:r>
        <w:t>Thi</w:t>
      </w:r>
      <w:r w:rsidR="004D33B1">
        <w:t xml:space="preserve">s model, which obeys the truism that “one person’s liability is another person’s asset” just as much as does the Loanable Funds </w:t>
      </w:r>
      <w:r w:rsidR="0093717A">
        <w:t xml:space="preserve">bank-less </w:t>
      </w:r>
      <w:r w:rsidR="004D33B1">
        <w:t xml:space="preserve">model, clearly shows that net lending </w:t>
      </w:r>
      <w:r w:rsidR="004D33B1" w:rsidRPr="00DE0BC6">
        <w:rPr>
          <w:i/>
        </w:rPr>
        <w:t>will</w:t>
      </w:r>
      <w:r w:rsidR="004D33B1">
        <w:t xml:space="preserve"> increase the money supply (and net repayment of loans will reduce it):</w:t>
      </w:r>
    </w:p>
    <w:p w:rsidR="006C1863" w:rsidRDefault="006C1863" w:rsidP="00380929">
      <w:pPr>
        <w:pStyle w:val="MTDisplayEquation"/>
      </w:pPr>
      <w:r>
        <w:lastRenderedPageBreak/>
        <w:tab/>
      </w:r>
      <w:r w:rsidR="0005518E" w:rsidRPr="0005518E">
        <w:rPr>
          <w:position w:val="-208"/>
        </w:rPr>
        <w:object w:dxaOrig="3120" w:dyaOrig="4280">
          <v:shape id="_x0000_i1026" type="#_x0000_t75" style="width:156.25pt;height:213.3pt" o:ole="">
            <v:imagedata r:id="rId13" o:title=""/>
          </v:shape>
          <o:OLEObject Type="Embed" ProgID="Equation.DSMT4" ShapeID="_x0000_i1026" DrawAspect="Content" ObjectID="_1431228545" r:id="rId14"/>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3" w:name="ZEqnNum211462"/>
      <w:r>
        <w:instrText>(</w:instrText>
      </w:r>
      <w:fldSimple w:instr=" SEQ MTSec \c \* Arabic \* MERGEFORMAT ">
        <w:r w:rsidR="00E27138">
          <w:rPr>
            <w:noProof/>
          </w:rPr>
          <w:instrText>1</w:instrText>
        </w:r>
      </w:fldSimple>
      <w:r>
        <w:instrText>.</w:instrText>
      </w:r>
      <w:fldSimple w:instr=" SEQ MTEqn \c \* Arabic \* MERGEFORMAT ">
        <w:r w:rsidR="00E27138">
          <w:rPr>
            <w:noProof/>
          </w:rPr>
          <w:instrText>2</w:instrText>
        </w:r>
      </w:fldSimple>
      <w:r>
        <w:instrText>)</w:instrText>
      </w:r>
      <w:bookmarkEnd w:id="3"/>
      <w:r>
        <w:fldChar w:fldCharType="end"/>
      </w:r>
    </w:p>
    <w:p w:rsidR="004D33B1" w:rsidRDefault="00F44187" w:rsidP="004D33B1">
      <w:r w:rsidRPr="00F44187">
        <w:rPr>
          <w:i/>
        </w:rPr>
        <w:t>Contra</w:t>
      </w:r>
      <w:r>
        <w:t xml:space="preserve"> New Keynesian economics</w:t>
      </w:r>
      <w:r w:rsidR="003331C6" w:rsidRPr="003331C6">
        <w:t xml:space="preserve"> </w:t>
      </w:r>
      <w:r w:rsidR="003331C6">
        <w:t>therefore</w:t>
      </w:r>
      <w:r>
        <w:t>, the aggregate level of lending clearly does have macroeconomic consequences, if the “Endogenous Money” view of the functioning of the credit system is correct.</w:t>
      </w:r>
      <w:r w:rsidR="007E0636" w:rsidRPr="007E0636">
        <w:t xml:space="preserve"> </w:t>
      </w:r>
      <w:r w:rsidR="007E0636">
        <w:t xml:space="preserve">On this there can be little doubt: Loanable Funds dominates economic </w:t>
      </w:r>
      <w:r w:rsidR="0093717A">
        <w:t xml:space="preserve">textbooks and </w:t>
      </w:r>
      <w:r w:rsidR="007E0636">
        <w:t>theory, but Endogenous Money dominates reality.</w:t>
      </w:r>
    </w:p>
    <w:p w:rsidR="00B45D20" w:rsidRDefault="00B45D20" w:rsidP="00C85F3C">
      <w:pPr>
        <w:pStyle w:val="Heading1"/>
      </w:pPr>
      <w:r>
        <w:t>The Mythical Money Multiplier</w:t>
      </w:r>
    </w:p>
    <w:p w:rsidR="00ED642C" w:rsidRDefault="007E0636" w:rsidP="00A02876">
      <w:r>
        <w:t>T</w:t>
      </w:r>
      <w:r w:rsidR="00ED642C">
        <w:t>he Neoclassical “Loanable Funds” model</w:t>
      </w:r>
      <w:r w:rsidR="008C2F77">
        <w:t xml:space="preserve"> of lending</w:t>
      </w:r>
      <w:r>
        <w:t xml:space="preserve"> asserts</w:t>
      </w:r>
      <w:r w:rsidR="00ED642C">
        <w:t xml:space="preserve"> the “Money Multiplier” mode of money creation</w:t>
      </w:r>
      <w:r w:rsidR="00C85F3C">
        <w:t xml:space="preserve"> (</w:t>
      </w:r>
      <w:r w:rsidR="00716887">
        <w:t>which is rather schizophrenic, since this acknowledges the role of banks as deposit-takers and loan-makers, and yet their macroeconomic models remain bank-less</w:t>
      </w:r>
      <w:r w:rsidR="00C85F3C">
        <w:t>)</w:t>
      </w:r>
      <w:r>
        <w:t xml:space="preserve">. </w:t>
      </w:r>
      <w:r w:rsidR="00C85F3C">
        <w:t>T</w:t>
      </w:r>
      <w:r>
        <w:t>h</w:t>
      </w:r>
      <w:r w:rsidR="00716887">
        <w:t>ough banks ar</w:t>
      </w:r>
      <w:r>
        <w:t xml:space="preserve">e </w:t>
      </w:r>
      <w:r w:rsidR="00716887">
        <w:t xml:space="preserve">acknowledged to be able to create loans and deposits and hence </w:t>
      </w:r>
      <w:r>
        <w:t>money</w:t>
      </w:r>
      <w:r w:rsidR="00716887">
        <w:t>, the money</w:t>
      </w:r>
      <w:r>
        <w:t xml:space="preserve"> supply is seen as being under the control of the Federal Reserve via the twin determinants of Central Bank creation of the money base (MB), and control of the Required Reserve Ratio (RRR).</w:t>
      </w:r>
      <w:r w:rsidR="00D97856">
        <w:t xml:space="preserve"> If the Reserves increases base money by </w:t>
      </w:r>
      <w:r w:rsidR="00D97856" w:rsidRPr="00D97856">
        <w:rPr>
          <w:rFonts w:ascii="Symbol" w:hAnsi="Symbol"/>
        </w:rPr>
        <w:t></w:t>
      </w:r>
      <w:r w:rsidR="00D97856">
        <w:t>MB,</w:t>
      </w:r>
      <w:r w:rsidR="00D7272C">
        <w:t xml:space="preserve"> </w:t>
      </w:r>
      <w:r w:rsidR="00A02876">
        <w:t xml:space="preserve">then an iterative process of holding a fraction of the increased reserves, new lending, and new deposits will lead over time to the money supply growing by </w:t>
      </w:r>
      <w:r w:rsidR="00A02876" w:rsidRPr="00A02876">
        <w:rPr>
          <w:position w:val="-10"/>
        </w:rPr>
        <w:object w:dxaOrig="1120" w:dyaOrig="340">
          <v:shape id="_x0000_i1027" type="#_x0000_t75" style="width:56.4pt;height:17.3pt" o:ole="">
            <v:imagedata r:id="rId15" o:title=""/>
          </v:shape>
          <o:OLEObject Type="Embed" ProgID="Equation.DSMT4" ShapeID="_x0000_i1027" DrawAspect="Content" ObjectID="_1431228546" r:id="rId16"/>
        </w:object>
      </w:r>
      <w:r w:rsidR="00A02876">
        <w:t xml:space="preserve"> . In this model, </w:t>
      </w:r>
      <w:r w:rsidR="00716887">
        <w:t>an increase</w:t>
      </w:r>
      <w:r w:rsidR="00A02876">
        <w:t xml:space="preserve"> in reserves </w:t>
      </w:r>
      <w:r w:rsidR="00716887">
        <w:t>is</w:t>
      </w:r>
      <w:r w:rsidR="00A02876">
        <w:t xml:space="preserve"> initiated by the Reserve and precede</w:t>
      </w:r>
      <w:r w:rsidR="00716887">
        <w:t>s</w:t>
      </w:r>
      <w:r w:rsidR="00A02876">
        <w:t xml:space="preserve"> loans by (and deposits in) the private banking system.</w:t>
      </w:r>
    </w:p>
    <w:p w:rsidR="000F3A0F" w:rsidRDefault="000F3A0F" w:rsidP="00D326AA">
      <w:r>
        <w:t xml:space="preserve">The </w:t>
      </w:r>
      <w:r w:rsidR="009F6B50">
        <w:t>archetypal</w:t>
      </w:r>
      <w:r w:rsidR="00D326AA">
        <w:t xml:space="preserve"> statement of the </w:t>
      </w:r>
      <w:r w:rsidR="00716887">
        <w:t xml:space="preserve">opposing </w:t>
      </w:r>
      <w:r w:rsidR="00D326AA">
        <w:t>endogenous money view</w:t>
      </w:r>
      <w:r w:rsidR="00A02876">
        <w:t>, which rejects the Money Multiplier model,</w:t>
      </w:r>
      <w:r w:rsidR="00D326AA">
        <w:t xml:space="preserve"> was given by </w:t>
      </w:r>
      <w:r w:rsidR="00ED50A6">
        <w:t xml:space="preserve">Alan Holmes, </w:t>
      </w:r>
      <w:r w:rsidR="00D326AA">
        <w:t xml:space="preserve">the then senior vice-president of the New York Federal Reserve, in his unsuccessful attempt to prevent the adoption of Monetarist policies </w:t>
      </w:r>
      <w:r w:rsidR="007E0636">
        <w:t>in the late 1960s.</w:t>
      </w:r>
      <w:r w:rsidR="005F10BE">
        <w:t xml:space="preserve"> </w:t>
      </w:r>
      <w:r w:rsidR="00A02876">
        <w:t xml:space="preserve">Given the persistence of the Money Multiplier model, Holmes’s </w:t>
      </w:r>
      <w:r w:rsidR="00E11668">
        <w:t xml:space="preserve">practical </w:t>
      </w:r>
      <w:r w:rsidR="00A02876">
        <w:t>dismissal of it is worth quoting at length:</w:t>
      </w:r>
    </w:p>
    <w:p w:rsidR="00D326AA" w:rsidRDefault="00D326AA" w:rsidP="00D326AA">
      <w:pPr>
        <w:pStyle w:val="Quote"/>
      </w:pPr>
      <w:r>
        <w:t>The idea of a regular injection of reserves</w:t>
      </w:r>
      <w:r w:rsidR="005F10BE">
        <w:t>—</w:t>
      </w:r>
      <w:r>
        <w:t>in some approaches at least</w:t>
      </w:r>
      <w:r w:rsidR="005F10BE">
        <w:t>—</w:t>
      </w:r>
      <w:r>
        <w:t xml:space="preserve">also suffers from a naive assumption that the banking system only expands loans after the System (or market factors) have </w:t>
      </w:r>
      <w:r w:rsidR="00935842">
        <w:t xml:space="preserve">[sic.] </w:t>
      </w:r>
      <w:r>
        <w:t>put reserves in the banking system.</w:t>
      </w:r>
      <w:r w:rsidRPr="005F10BE">
        <w:rPr>
          <w:i/>
        </w:rPr>
        <w:t xml:space="preserve"> In the real world, banks extend credit, creating deposits in the process, and look for the reserves later</w:t>
      </w:r>
      <w:r>
        <w:t xml:space="preserve">. The question then becomes one of whether and how the Federal Reserve will accommodate the demand for reserves. In the very short run, the Federal Reserve has little or no </w:t>
      </w:r>
      <w:r>
        <w:lastRenderedPageBreak/>
        <w:t xml:space="preserve">choice about accommodating that demand; over time, its influence can obviously be felt. </w:t>
      </w:r>
    </w:p>
    <w:p w:rsidR="00D326AA" w:rsidRDefault="00D326AA" w:rsidP="00D326AA">
      <w:pPr>
        <w:pStyle w:val="Quote"/>
      </w:pPr>
      <w:r w:rsidRPr="005F10BE">
        <w:rPr>
          <w:i/>
        </w:rPr>
        <w:t>In any given statement week, the reserves required to be maintained by the banking system are predetermined by the level of deposits existing two weeks earlier</w:t>
      </w:r>
      <w:r>
        <w:t xml:space="preserve">. Since excess reserves in the banking system normally run at frictional level … the level of total reserves in any given statement week is also pretty well determined in advance. Since banks have to meet their reserve requirements each week (after allowance for carryover privileges), and since they can do nothing within that week to affect required reserves, that total amount of reserves has to be available to the banking system. </w:t>
      </w:r>
      <w:r>
        <w:fldChar w:fldCharType="begin"/>
      </w:r>
      <w:r w:rsidR="005F10BE">
        <w:instrText xml:space="preserve"> ADDIN EN.CITE &lt;EndNote&gt;&lt;Cite&gt;&lt;Author&gt;Holmes&lt;/Author&gt;&lt;Year&gt;1969&lt;/Year&gt;&lt;RecNum&gt;368&lt;/RecNum&gt;&lt;Suffix&gt;`, pp. 73-74. Emphasis added&lt;/Suffix&gt;&lt;DisplayText&gt;(Holmes 1969, pp. 73-74. Emphasis added)&lt;/DisplayText&gt;&lt;record&gt;&lt;rec-number&gt;368&lt;/rec-number&gt;&lt;foreign-keys&gt;&lt;key app="EN" db-id="avereev0mavvele2e0pvtaw6xzxpwd0tpdv5"&gt;368&lt;/key&gt;&lt;/foreign-keys&gt;&lt;ref-type name="Conference Paper"&gt;47&lt;/ref-type&gt;&lt;contributors&gt;&lt;authors&gt;&lt;author&gt;Alan R. Holmes&lt;/author&gt;&lt;/authors&gt;&lt;secondary-authors&gt;&lt;author&gt;Frank E. Morris&lt;/author&gt;&lt;/secondary-authors&gt;&lt;/contributors&gt;&lt;titles&gt;&lt;title&gt;Operational Constraints on the Stabilization of Money Supply Growth&lt;/title&gt;&lt;secondary-title&gt;Controlling Monetary Aggregates&lt;/secondary-title&gt;&lt;/titles&gt;&lt;pages&gt;65-77&lt;/pages&gt;&lt;dates&gt;&lt;year&gt;1969&lt;/year&gt;&lt;pub-dates&gt;&lt;date&gt;1969&lt;/date&gt;&lt;/pub-dates&gt;&lt;/dates&gt;&lt;pub-location&gt;Nantucket Island&lt;/pub-location&gt;&lt;publisher&gt;The Federal Reserve Bank of Boston&lt;/publisher&gt;&lt;urls&gt;&lt;related-urls&gt;&lt;url&gt;http://www.bos.frb.org/economic/conf/conf1/index.htm&lt;/url&gt;&lt;/related-urls&gt;&lt;/urls&gt;&lt;/record&gt;&lt;/Cite&gt;&lt;/EndNote&gt;</w:instrText>
      </w:r>
      <w:r>
        <w:fldChar w:fldCharType="separate"/>
      </w:r>
      <w:r w:rsidR="005F10BE">
        <w:rPr>
          <w:noProof/>
        </w:rPr>
        <w:t>(</w:t>
      </w:r>
      <w:hyperlink w:anchor="_ENREF_13" w:tooltip="Holmes, 1969 #368" w:history="1">
        <w:r w:rsidR="00DD06E2">
          <w:rPr>
            <w:noProof/>
          </w:rPr>
          <w:t>Holmes 1969, pp. 73-74. Emphasis added</w:t>
        </w:r>
      </w:hyperlink>
      <w:r w:rsidR="005F10BE">
        <w:rPr>
          <w:noProof/>
        </w:rPr>
        <w:t>)</w:t>
      </w:r>
      <w:r>
        <w:fldChar w:fldCharType="end"/>
      </w:r>
    </w:p>
    <w:p w:rsidR="00DD1811" w:rsidRDefault="00DD1811" w:rsidP="00DD1811">
      <w:pPr>
        <w:rPr>
          <w:iCs/>
          <w:color w:val="000000" w:themeColor="text1"/>
        </w:rPr>
      </w:pPr>
      <w:r>
        <w:rPr>
          <w:iCs/>
          <w:color w:val="000000" w:themeColor="text1"/>
        </w:rPr>
        <w:t xml:space="preserve">Given this institutional arrangement—that Required Reserves are determined by </w:t>
      </w:r>
      <w:r w:rsidR="00AF2D51">
        <w:rPr>
          <w:iCs/>
          <w:color w:val="000000" w:themeColor="text1"/>
        </w:rPr>
        <w:t xml:space="preserve">pre-existing level of deposits—then it is little wonder that empirical research has confirmed that the relation between Base Money and Credit Money is the reverse of that argued in the Money Multiplier model </w:t>
      </w:r>
      <w:r w:rsidR="00AF2D51">
        <w:rPr>
          <w:iCs/>
          <w:color w:val="000000" w:themeColor="text1"/>
        </w:rPr>
        <w:fldChar w:fldCharType="begin"/>
      </w:r>
      <w:r w:rsidR="00AF2D51">
        <w:rPr>
          <w:iCs/>
          <w:color w:val="000000" w:themeColor="text1"/>
        </w:rPr>
        <w:instrText xml:space="preserve"> ADDIN EN.CITE &lt;EndNote&gt;&lt;Cite&gt;&lt;Author&gt;O&amp;apos;Brien&lt;/Author&gt;&lt;Year&gt;2007&lt;/Year&gt;&lt;RecNum&gt;1126&lt;/RecNum&gt;&lt;Suffix&gt; reports that this time delay is now 30 days. See Table 12`, p. 52&lt;/Suffix&gt;&lt;DisplayText&gt;(O&amp;apos;Brien 2007 reports that this time delay is now 30 days. See Table 12, p. 52)&lt;/DisplayText&gt;&lt;record&gt;&lt;rec-number&gt;1126&lt;/rec-number&gt;&lt;foreign-keys&gt;&lt;key app="EN" db-id="avereev0mavvele2e0pvtaw6xzxpwd0tpdv5"&gt;1126&lt;/key&gt;&lt;/foreign-keys&gt;&lt;ref-type name="Journal Article"&gt;17&lt;/ref-type&gt;&lt;contributors&gt;&lt;authors&gt;&lt;author&gt;O&amp;apos;Brien, Yueh-Yun June C.&lt;/author&gt;&lt;/authors&gt;&lt;/contributors&gt;&lt;titles&gt;&lt;title&gt;Reserve Requirement Systems in OECD Countries&lt;/title&gt;&lt;secondary-title&gt;SSRN eLibrary&lt;/secondary-title&gt;&lt;/titles&gt;&lt;periodical&gt;&lt;full-title&gt;SSRN eLibrary&lt;/full-title&gt;&lt;/periodical&gt;&lt;keywords&gt;&lt;keyword&gt;reservable liabilities, required reserve ratios, reserve computation periods, reserve maintenance periods, lagged reserve requirements, remuneration&lt;/keyword&gt;&lt;/keywords&gt;&lt;dates&gt;&lt;year&gt;2007&lt;/year&gt;&lt;/dates&gt;&lt;call-num&gt;English&lt;/call-num&gt;&lt;urls&gt;&lt;related-urls&gt;&lt;url&gt;http://ssrn.com/paper=1038201&lt;/url&gt;&lt;/related-urls&gt;&lt;/urls&gt;&lt;/record&gt;&lt;/Cite&gt;&lt;/EndNote&gt;</w:instrText>
      </w:r>
      <w:r w:rsidR="00AF2D51">
        <w:rPr>
          <w:iCs/>
          <w:color w:val="000000" w:themeColor="text1"/>
        </w:rPr>
        <w:fldChar w:fldCharType="separate"/>
      </w:r>
      <w:r w:rsidR="00AF2D51">
        <w:rPr>
          <w:iCs/>
          <w:noProof/>
          <w:color w:val="000000" w:themeColor="text1"/>
        </w:rPr>
        <w:t>(</w:t>
      </w:r>
      <w:hyperlink w:anchor="_ENREF_26" w:tooltip="O'Brien, 2007 #1126" w:history="1">
        <w:r w:rsidR="00DD06E2">
          <w:rPr>
            <w:iCs/>
            <w:noProof/>
            <w:color w:val="000000" w:themeColor="text1"/>
          </w:rPr>
          <w:t>O'Brien 2007 reports that this time delay is now 30 days. See Table 12, p. 52</w:t>
        </w:r>
      </w:hyperlink>
      <w:r w:rsidR="00AF2D51">
        <w:rPr>
          <w:iCs/>
          <w:noProof/>
          <w:color w:val="000000" w:themeColor="text1"/>
        </w:rPr>
        <w:t>)</w:t>
      </w:r>
      <w:r w:rsidR="00AF2D51">
        <w:rPr>
          <w:iCs/>
          <w:color w:val="000000" w:themeColor="text1"/>
        </w:rPr>
        <w:fldChar w:fldCharType="end"/>
      </w:r>
      <w:r w:rsidR="00AF2D51">
        <w:rPr>
          <w:iCs/>
          <w:color w:val="000000" w:themeColor="text1"/>
        </w:rPr>
        <w:t>.</w:t>
      </w:r>
      <w:r w:rsidR="00CA5F11">
        <w:rPr>
          <w:iCs/>
          <w:color w:val="000000" w:themeColor="text1"/>
        </w:rPr>
        <w:t xml:space="preserve"> The pioneering </w:t>
      </w:r>
      <w:r w:rsidR="00D15023">
        <w:rPr>
          <w:iCs/>
          <w:color w:val="000000" w:themeColor="text1"/>
        </w:rPr>
        <w:t xml:space="preserve">empirical </w:t>
      </w:r>
      <w:r w:rsidR="00CA5F11">
        <w:rPr>
          <w:iCs/>
          <w:color w:val="000000" w:themeColor="text1"/>
        </w:rPr>
        <w:t xml:space="preserve">work was done by the Post Keynesian economist Basil Moore </w:t>
      </w:r>
      <w:r w:rsidR="00CA5F11">
        <w:rPr>
          <w:iCs/>
          <w:color w:val="000000" w:themeColor="text1"/>
        </w:rPr>
        <w:fldChar w:fldCharType="begin">
          <w:fldData xml:space="preserve">PEVuZE5vdGU+PENpdGU+PEF1dGhvcj5Nb29yZTwvQXV0aG9yPjxZZWFyPjE5Nzk8L1llYXI+PFJl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</w:fldData>
        </w:fldChar>
      </w:r>
      <w:r w:rsidR="00CA5F11">
        <w:rPr>
          <w:iCs/>
          <w:color w:val="000000" w:themeColor="text1"/>
        </w:rPr>
        <w:instrText xml:space="preserve"> ADDIN EN.CITE </w:instrText>
      </w:r>
      <w:r w:rsidR="00CA5F11">
        <w:rPr>
          <w:iCs/>
          <w:color w:val="000000" w:themeColor="text1"/>
        </w:rPr>
        <w:fldChar w:fldCharType="begin">
          <w:fldData xml:space="preserve">PEVuZE5vdGU+PENpdGU+PEF1dGhvcj5Nb29yZTwvQXV0aG9yPjxZZWFyPjE5Nzk8L1llYXI+PFJl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</w:fldData>
        </w:fldChar>
      </w:r>
      <w:r w:rsidR="00CA5F11">
        <w:rPr>
          <w:iCs/>
          <w:color w:val="000000" w:themeColor="text1"/>
        </w:rPr>
        <w:instrText xml:space="preserve"> ADDIN EN.CITE.DATA </w:instrText>
      </w:r>
      <w:r w:rsidR="00CA5F11">
        <w:rPr>
          <w:iCs/>
          <w:color w:val="000000" w:themeColor="text1"/>
        </w:rPr>
      </w:r>
      <w:r w:rsidR="00CA5F11">
        <w:rPr>
          <w:iCs/>
          <w:color w:val="000000" w:themeColor="text1"/>
        </w:rPr>
        <w:fldChar w:fldCharType="end"/>
      </w:r>
      <w:r w:rsidR="00CA5F11">
        <w:rPr>
          <w:iCs/>
          <w:color w:val="000000" w:themeColor="text1"/>
        </w:rPr>
      </w:r>
      <w:r w:rsidR="00CA5F11">
        <w:rPr>
          <w:iCs/>
          <w:color w:val="000000" w:themeColor="text1"/>
        </w:rPr>
        <w:fldChar w:fldCharType="separate"/>
      </w:r>
      <w:r w:rsidR="00CA5F11">
        <w:rPr>
          <w:iCs/>
          <w:noProof/>
          <w:color w:val="000000" w:themeColor="text1"/>
        </w:rPr>
        <w:t>(</w:t>
      </w:r>
      <w:hyperlink w:anchor="_ENREF_20" w:tooltip="Moore, 1979 #1452" w:history="1">
        <w:r w:rsidR="00DD06E2">
          <w:rPr>
            <w:iCs/>
            <w:noProof/>
            <w:color w:val="000000" w:themeColor="text1"/>
          </w:rPr>
          <w:t>Moore 1979</w:t>
        </w:r>
      </w:hyperlink>
      <w:r w:rsidR="00CA5F11">
        <w:rPr>
          <w:iCs/>
          <w:noProof/>
          <w:color w:val="000000" w:themeColor="text1"/>
        </w:rPr>
        <w:t xml:space="preserve">; </w:t>
      </w:r>
      <w:hyperlink w:anchor="_ENREF_21" w:tooltip="Moore, 1983 #126" w:history="1">
        <w:r w:rsidR="00DD06E2">
          <w:rPr>
            <w:iCs/>
            <w:noProof/>
            <w:color w:val="000000" w:themeColor="text1"/>
          </w:rPr>
          <w:t>Moore 1983</w:t>
        </w:r>
      </w:hyperlink>
      <w:r w:rsidR="00CA5F11">
        <w:rPr>
          <w:iCs/>
          <w:noProof/>
          <w:color w:val="000000" w:themeColor="text1"/>
        </w:rPr>
        <w:t xml:space="preserve">; </w:t>
      </w:r>
      <w:hyperlink w:anchor="_ENREF_22" w:tooltip="Moore, 1988 #314" w:history="1">
        <w:r w:rsidR="00DD06E2">
          <w:rPr>
            <w:iCs/>
            <w:noProof/>
            <w:color w:val="000000" w:themeColor="text1"/>
          </w:rPr>
          <w:t>Moore 1988</w:t>
        </w:r>
      </w:hyperlink>
      <w:r w:rsidR="00CA5F11">
        <w:rPr>
          <w:iCs/>
          <w:noProof/>
          <w:color w:val="000000" w:themeColor="text1"/>
        </w:rPr>
        <w:t xml:space="preserve">; </w:t>
      </w:r>
      <w:hyperlink w:anchor="_ENREF_23" w:tooltip="Moore, 1988 #2091" w:history="1">
        <w:r w:rsidR="00DD06E2">
          <w:rPr>
            <w:iCs/>
            <w:noProof/>
            <w:color w:val="000000" w:themeColor="text1"/>
          </w:rPr>
          <w:t>Moore 1988</w:t>
        </w:r>
      </w:hyperlink>
      <w:r w:rsidR="00CA5F11">
        <w:rPr>
          <w:iCs/>
          <w:noProof/>
          <w:color w:val="000000" w:themeColor="text1"/>
        </w:rPr>
        <w:t xml:space="preserve">; </w:t>
      </w:r>
      <w:hyperlink w:anchor="_ENREF_24" w:tooltip="Moore, 1997 #1449" w:history="1">
        <w:r w:rsidR="00DD06E2">
          <w:rPr>
            <w:iCs/>
            <w:noProof/>
            <w:color w:val="000000" w:themeColor="text1"/>
          </w:rPr>
          <w:t>Moore 1997</w:t>
        </w:r>
      </w:hyperlink>
      <w:r w:rsidR="00CA5F11">
        <w:rPr>
          <w:iCs/>
          <w:noProof/>
          <w:color w:val="000000" w:themeColor="text1"/>
        </w:rPr>
        <w:t xml:space="preserve">; </w:t>
      </w:r>
      <w:hyperlink w:anchor="_ENREF_25" w:tooltip="Moore, 2001 #1451" w:history="1">
        <w:r w:rsidR="00DD06E2">
          <w:rPr>
            <w:iCs/>
            <w:noProof/>
            <w:color w:val="000000" w:themeColor="text1"/>
          </w:rPr>
          <w:t>Moore 2001</w:t>
        </w:r>
      </w:hyperlink>
      <w:r w:rsidR="00CA5F11">
        <w:rPr>
          <w:iCs/>
          <w:noProof/>
          <w:color w:val="000000" w:themeColor="text1"/>
        </w:rPr>
        <w:t>)</w:t>
      </w:r>
      <w:r w:rsidR="00CA5F11">
        <w:rPr>
          <w:iCs/>
          <w:color w:val="000000" w:themeColor="text1"/>
        </w:rPr>
        <w:fldChar w:fldCharType="end"/>
      </w:r>
      <w:r w:rsidR="00CA5F11">
        <w:rPr>
          <w:iCs/>
          <w:color w:val="000000" w:themeColor="text1"/>
        </w:rPr>
        <w:t xml:space="preserve">, but the most instructive results come from none other than Real Business Cycle developers Kydland and Prescott. </w:t>
      </w:r>
      <w:r w:rsidR="00B64F66">
        <w:rPr>
          <w:iCs/>
          <w:color w:val="000000" w:themeColor="text1"/>
        </w:rPr>
        <w:t>One of the many findings to question Neoclassical dogma in this empirical paper (“</w:t>
      </w:r>
      <w:r w:rsidR="00B64F66" w:rsidRPr="00B64F66">
        <w:rPr>
          <w:iCs/>
          <w:color w:val="000000" w:themeColor="text1"/>
        </w:rPr>
        <w:t>The purpose of this article is to present the business cycle facts in light of established neoclassical growth theory</w:t>
      </w:r>
      <w:r w:rsidR="00B64F66">
        <w:rPr>
          <w:iCs/>
          <w:color w:val="000000" w:themeColor="text1"/>
        </w:rPr>
        <w:t xml:space="preserve">… </w:t>
      </w:r>
      <w:r w:rsidR="00B64F66" w:rsidRPr="00B64F66">
        <w:rPr>
          <w:iCs/>
          <w:color w:val="000000" w:themeColor="text1"/>
        </w:rPr>
        <w:t>We find these features interesting because the patterns they seem to display a</w:t>
      </w:r>
      <w:r w:rsidR="00B64F66">
        <w:rPr>
          <w:iCs/>
          <w:color w:val="000000" w:themeColor="text1"/>
        </w:rPr>
        <w:t>re inconsistent with the theory”) was the result that credit money led base money:</w:t>
      </w:r>
    </w:p>
    <w:p w:rsidR="00CA5F11" w:rsidRDefault="00CA5F11" w:rsidP="00CA5F11">
      <w:pPr>
        <w:pStyle w:val="Quote"/>
      </w:pPr>
      <w:r>
        <w:t>There is no evidence that either the monetary base or M1 leads the cycle, although some economists still believe this monetary myth. Both the monetary base and M1 series are generally procyclical and, if anything, the monetary base lags the cycle slightly […] The difference in the behavior of M1 and M2 suggests that the difference of these aggregates (M2 minus M1) should be considered […] The difference of M2–M1 leads the cycle by even more than M2, with the lead being about three quarters […]</w:t>
      </w:r>
    </w:p>
    <w:p w:rsidR="00CA5F11" w:rsidRDefault="00CA5F11" w:rsidP="00CA5F11">
      <w:pPr>
        <w:pStyle w:val="Quote"/>
      </w:pPr>
      <w:r>
        <w:t xml:space="preserve">The fact that the transaction component of real cash balances (M1) moves  contemporaneously with the cycle while the much larger nontransaction component (M2) leads the cycle suggests that credit arrangements could play a significant role in future business cycle theory. Introducing money and credit into growth theory in a way that accounts for the cyclical behavior of monetary as well as real aggregates is an important open problem in economics. </w:t>
      </w:r>
      <w:r w:rsidR="00964871">
        <w:fldChar w:fldCharType="begin"/>
      </w:r>
      <w:r w:rsidR="00B64F66">
        <w:instrText xml:space="preserve"> ADDIN EN.CITE &lt;EndNote&gt;&lt;Cite&gt;&lt;Author&gt;Kydland&lt;/Author&gt;&lt;Year&gt;1990&lt;/Year&gt;&lt;RecNum&gt;322&lt;/RecNum&gt;&lt;Suffix&gt;`, pp. 4`, 15&lt;/Suffix&gt;&lt;DisplayText&gt;(Kydland and Prescott 1990, pp. 4, 15)&lt;/DisplayText&gt;&lt;record&gt;&lt;rec-number&gt;322&lt;/rec-number&gt;&lt;foreign-keys&gt;&lt;key app="EN" db-id="avereev0mavvele2e0pvtaw6xzxpwd0tpdv5"&gt;322&lt;/key&gt;&lt;/foreign-keys&gt;&lt;ref-type name="Journal Article"&gt;17&lt;/ref-type&gt;&lt;contributors&gt;&lt;authors&gt;&lt;author&gt;Kydland, Finn E.&lt;/author&gt;&lt;author&gt;Prescott, Edward C.&lt;/author&gt;&lt;/authors&gt;&lt;/contributors&gt;&lt;auth-address&gt;Carnegie Mellon U&amp;#xD;Federal Reserve Bank of Minneapolis and U MN&lt;/auth-address&gt;&lt;titles&gt;&lt;title&gt;Business Cycles: Real Facts and a Monetary Myth&lt;/title&gt;&lt;secondary-title&gt;Federal Reserve Bank of Minneapolis Quarterly Review&lt;/secondary-title&gt;&lt;/titles&gt;&lt;periodical&gt;&lt;full-title&gt;Federal Reserve Bank of Minneapolis Quarterly Review&lt;/full-title&gt;&lt;/periodical&gt;&lt;pages&gt;3-18&lt;/pages&gt;&lt;volume&gt;14&lt;/volume&gt;&lt;number&gt;2&lt;/number&gt;&lt;keywords&gt;&lt;keyword&gt;Economic Fluctuations--Studies 1313&lt;/keyword&gt;&lt;/keywords&gt;&lt;dates&gt;&lt;year&gt;1990&lt;/year&gt;&lt;pub-dates&gt;&lt;date&gt;Spring&lt;/date&gt;&lt;/pub-dates&gt;&lt;/dates&gt;&lt;isbn&gt;02715287&lt;/isbn&gt;&lt;urls&gt;&lt;related-urls&gt;&lt;url&gt;http://research.mpls.frb.fed.us/research/qr/&lt;/url&gt;&lt;url&gt;http://search.ebscohost.com/login.aspx?direct=true&amp;amp;db=ecn&amp;amp;AN=0234154&amp;amp;site=ehost-live&lt;/url&gt;&lt;/related-urls&gt;&lt;/urls&gt;&lt;/record&gt;&lt;/Cite&gt;&lt;/EndNote&gt;</w:instrText>
      </w:r>
      <w:r w:rsidR="00964871">
        <w:fldChar w:fldCharType="separate"/>
      </w:r>
      <w:r w:rsidR="00B64F66">
        <w:rPr>
          <w:noProof/>
        </w:rPr>
        <w:t>(</w:t>
      </w:r>
      <w:hyperlink w:anchor="_ENREF_19" w:tooltip="Kydland, 1990 #322" w:history="1">
        <w:r w:rsidR="00DD06E2">
          <w:rPr>
            <w:noProof/>
          </w:rPr>
          <w:t>Kydland and Prescott 1990, pp. 4, 15</w:t>
        </w:r>
      </w:hyperlink>
      <w:r w:rsidR="00B64F66">
        <w:rPr>
          <w:noProof/>
        </w:rPr>
        <w:t>)</w:t>
      </w:r>
      <w:r w:rsidR="00964871">
        <w:fldChar w:fldCharType="end"/>
      </w:r>
    </w:p>
    <w:p w:rsidR="002149A2" w:rsidRDefault="009A43FF" w:rsidP="002149A2">
      <w:r>
        <w:t>I</w:t>
      </w:r>
      <w:r w:rsidR="002149A2">
        <w:t>n a provocatively titled Federal Reserve research paper (“Money, Reserves, and the Transmission of Monetary Policy: Does the Money Multiplier Exist?”)</w:t>
      </w:r>
      <w:r>
        <w:t xml:space="preserve"> written in the aftermath of the financial crisis</w:t>
      </w:r>
      <w:r w:rsidR="002149A2">
        <w:t xml:space="preserve">, Carpenter and Demilarp affirm that the neat and plausible Money Multiplier model is empirically </w:t>
      </w:r>
      <w:r>
        <w:t>wrong</w:t>
      </w:r>
      <w:r w:rsidR="002149A2">
        <w:t>:</w:t>
      </w:r>
    </w:p>
    <w:p w:rsidR="002149A2" w:rsidRDefault="002149A2" w:rsidP="002149A2">
      <w:pPr>
        <w:pStyle w:val="Quote"/>
      </w:pPr>
      <w:r>
        <w:t xml:space="preserve">Since 2008, the Federal Reserve has supplied an enormous quantity of reserve balances relative to historical levels as a result of a set of nontraditional policy actions. These actions were taken to stabilize short-term funding markets and to provide additional </w:t>
      </w:r>
      <w:r>
        <w:lastRenderedPageBreak/>
        <w:t xml:space="preserve">monetary policy stimulus at a time when the federal funds rate was at its effective lower bound. The question arises whether or not this unprecedented rise in reserve balances ought to lead to a sharp rise in money and lending. </w:t>
      </w:r>
      <w:r w:rsidRPr="002149A2">
        <w:rPr>
          <w:i/>
        </w:rPr>
        <w:t>The results in this paper suggest that the quantity of reserve balances itself is not likely to trigger a rapid increase in lending […] the narrow, textbook money multiplier does not appear to be a useful means of assessing the implications of monetary policy for future money growth or bank lending.</w:t>
      </w:r>
      <w:r>
        <w:t xml:space="preserve"> </w:t>
      </w:r>
      <w:r>
        <w:fldChar w:fldCharType="begin"/>
      </w:r>
      <w:r>
        <w:instrText xml:space="preserve"> ADDIN EN.CITE &lt;EndNote&gt;&lt;Cite&gt;&lt;Author&gt;Carpenter&lt;/Author&gt;&lt;Year&gt;2010&lt;/Year&gt;&lt;RecNum&gt;2087&lt;/RecNum&gt;&lt;Suffix&gt;`, p. 29. Emphasis added&lt;/Suffix&gt;&lt;DisplayText&gt;(Carpenter and Demiralp 2010, p. 29. Emphasis added)&lt;/DisplayText&gt;&lt;record&gt;&lt;rec-number&gt;2087&lt;/rec-number&gt;&lt;foreign-keys&gt;&lt;key app="EN" db-id="avereev0mavvele2e0pvtaw6xzxpwd0tpdv5"&gt;2087&lt;/key&gt;&lt;/foreign-keys&gt;&lt;ref-type name="Unpublished Work"&gt;34&lt;/ref-type&gt;&lt;contributors&gt;&lt;authors&gt;&lt;author&gt;Carpenter, Seth B.&lt;/author&gt;&lt;author&gt;Demiralp, Selva&lt;/author&gt;&lt;/authors&gt;&lt;/contributors&gt;&lt;titles&gt;&lt;title&gt;Money, Reserves, and the Transmission of Monetary Policy: Does the Money Multiplier Exist?&lt;/title&gt;&lt;secondary-title&gt;Finance and Economics Discussion Series&lt;/secondary-title&gt;&lt;/titles&gt;&lt;number&gt;2010-41&lt;/number&gt;&lt;dates&gt;&lt;year&gt;2010&lt;/year&gt;&lt;pub-dates&gt;&lt;date&gt;May 2010&lt;/date&gt;&lt;/pub-dates&gt;&lt;/dates&gt;&lt;pub-location&gt;Washington&lt;/pub-location&gt;&lt;publisher&gt;Federal Reserve Board&lt;/publisher&gt;&lt;urls&gt;&lt;related-urls&gt;&lt;url&gt;http://www.federalreserve.gov/pubs/feds/2010/201041/201041pap.pdf&lt;/url&gt;&lt;/related-urls&gt;&lt;/urls&gt;&lt;/record&gt;&lt;/Cite&gt;&lt;/EndNote&gt;</w:instrText>
      </w:r>
      <w:r>
        <w:fldChar w:fldCharType="separate"/>
      </w:r>
      <w:r>
        <w:rPr>
          <w:noProof/>
        </w:rPr>
        <w:t>(</w:t>
      </w:r>
      <w:hyperlink w:anchor="_ENREF_5" w:tooltip="Carpenter, 2010 #2087" w:history="1">
        <w:r w:rsidR="00DD06E2">
          <w:rPr>
            <w:noProof/>
          </w:rPr>
          <w:t>Carpenter and Demiralp 2010, p. 29. Emphasis added</w:t>
        </w:r>
      </w:hyperlink>
      <w:r>
        <w:rPr>
          <w:noProof/>
        </w:rPr>
        <w:t>)</w:t>
      </w:r>
      <w:r>
        <w:fldChar w:fldCharType="end"/>
      </w:r>
    </w:p>
    <w:p w:rsidR="00014468" w:rsidRDefault="00014468" w:rsidP="00395713">
      <w:pPr>
        <w:pStyle w:val="Heading1"/>
      </w:pPr>
      <w:r>
        <w:t>Reserves in the endogenous money real world</w:t>
      </w:r>
    </w:p>
    <w:p w:rsidR="00014468" w:rsidRDefault="001310D5" w:rsidP="00014468">
      <w:r>
        <w:t>A</w:t>
      </w:r>
      <w:r w:rsidR="00014468">
        <w:t xml:space="preserve"> </w:t>
      </w:r>
      <w:r w:rsidR="00A56007">
        <w:t xml:space="preserve">realistic </w:t>
      </w:r>
      <w:r>
        <w:t xml:space="preserve">if stylized </w:t>
      </w:r>
      <w:r w:rsidR="00A56007">
        <w:t xml:space="preserve">view </w:t>
      </w:r>
      <w:r w:rsidR="00014468">
        <w:t xml:space="preserve">of the </w:t>
      </w:r>
      <w:r w:rsidR="00530A35">
        <w:t xml:space="preserve">actual </w:t>
      </w:r>
      <w:r w:rsidR="00014468">
        <w:t xml:space="preserve">role of reserves in the endogenous money real world </w:t>
      </w:r>
      <w:r>
        <w:t xml:space="preserve">is shown in </w:t>
      </w:r>
      <w:r>
        <w:fldChar w:fldCharType="begin"/>
      </w:r>
      <w:r>
        <w:instrText xml:space="preserve"> REF _Ref356160673 \h </w:instrText>
      </w:r>
      <w:r>
        <w:fldChar w:fldCharType="separate"/>
      </w:r>
      <w:r w:rsidR="00E27138">
        <w:t xml:space="preserve">Figure </w:t>
      </w:r>
      <w:r w:rsidR="00E27138">
        <w:rPr>
          <w:noProof/>
        </w:rPr>
        <w:t>3</w:t>
      </w:r>
      <w:r>
        <w:fldChar w:fldCharType="end"/>
      </w:r>
      <w:r>
        <w:t>,</w:t>
      </w:r>
      <w:r w:rsidR="00014468">
        <w:t xml:space="preserve"> in which a Buyer purchases goods from a Seller using both cash and credit.</w:t>
      </w:r>
      <w:r w:rsidR="00583661">
        <w:t xml:space="preserve"> There are three banks in the model—a Central Bank, a Buyer’s Bank, and a Seller’s Bank.</w:t>
      </w:r>
    </w:p>
    <w:p w:rsidR="001310D5" w:rsidRDefault="001310D5" w:rsidP="00014468">
      <w:r>
        <w:t xml:space="preserve">The cash purchase involves the flow of </w:t>
      </w:r>
      <w:r w:rsidRPr="001310D5">
        <w:rPr>
          <w:i/>
        </w:rPr>
        <w:t>Cash</w:t>
      </w:r>
      <w:r>
        <w:t xml:space="preserve"> from the Buyer’s account </w:t>
      </w:r>
      <w:r w:rsidR="00D97DC9" w:rsidRPr="00D97DC9">
        <w:rPr>
          <w:i/>
        </w:rPr>
        <w:t>D</w:t>
      </w:r>
      <w:r w:rsidR="00D97DC9" w:rsidRPr="00D97DC9">
        <w:rPr>
          <w:i/>
          <w:vertAlign w:val="subscript"/>
        </w:rPr>
        <w:t>B</w:t>
      </w:r>
      <w:r w:rsidR="00D97DC9">
        <w:t xml:space="preserve"> </w:t>
      </w:r>
      <w:r>
        <w:t xml:space="preserve">at Buyer Bank to the Seller’s account </w:t>
      </w:r>
      <w:r w:rsidR="00D97DC9" w:rsidRPr="00D97DC9">
        <w:rPr>
          <w:i/>
        </w:rPr>
        <w:t>D</w:t>
      </w:r>
      <w:r w:rsidR="00D97DC9" w:rsidRPr="00D97DC9">
        <w:rPr>
          <w:i/>
          <w:vertAlign w:val="subscript"/>
        </w:rPr>
        <w:t>S</w:t>
      </w:r>
      <w:r w:rsidR="00D97DC9">
        <w:t xml:space="preserve"> </w:t>
      </w:r>
      <w:r>
        <w:t xml:space="preserve">at Seller Bank. For that flow to happen there also has to be a transfer from </w:t>
      </w:r>
      <w:r w:rsidR="00D97DC9">
        <w:t xml:space="preserve">the </w:t>
      </w:r>
      <w:r>
        <w:t>Buyer Bank</w:t>
      </w:r>
      <w:r w:rsidR="00D97DC9">
        <w:t>’s reserve account at the Central Bank (</w:t>
      </w:r>
      <w:r w:rsidR="00D97DC9" w:rsidRPr="00D97DC9">
        <w:rPr>
          <w:i/>
        </w:rPr>
        <w:t>R</w:t>
      </w:r>
      <w:r w:rsidR="00D97DC9" w:rsidRPr="00D97DC9">
        <w:rPr>
          <w:i/>
          <w:vertAlign w:val="subscript"/>
        </w:rPr>
        <w:t>BB</w:t>
      </w:r>
      <w:r w:rsidR="00D97DC9">
        <w:t>)</w:t>
      </w:r>
      <w:r>
        <w:t xml:space="preserve"> to </w:t>
      </w:r>
      <w:r w:rsidR="00D97DC9">
        <w:t xml:space="preserve">the </w:t>
      </w:r>
      <w:r>
        <w:t>Seller Bank</w:t>
      </w:r>
      <w:r w:rsidR="00D97DC9">
        <w:t>’s account (</w:t>
      </w:r>
      <w:r w:rsidR="00D97DC9" w:rsidRPr="00D97DC9">
        <w:rPr>
          <w:i/>
        </w:rPr>
        <w:t>R</w:t>
      </w:r>
      <w:r w:rsidR="00D97DC9" w:rsidRPr="00D97DC9">
        <w:rPr>
          <w:i/>
          <w:vertAlign w:val="subscript"/>
        </w:rPr>
        <w:t>SB</w:t>
      </w:r>
      <w:r w:rsidR="00D97DC9">
        <w:t>)</w:t>
      </w:r>
      <w:r>
        <w:t>.</w:t>
      </w:r>
    </w:p>
    <w:p w:rsidR="001310D5" w:rsidRDefault="001310D5" w:rsidP="001310D5">
      <w:r>
        <w:t>With excess reserves normally at frictional levels (as Holmes pointed out), it is quite possible that even the cash purchase by a Buyer could cause the Buyer’s Bank to breach its reserve requirements</w:t>
      </w:r>
      <w:r w:rsidR="00D97DC9">
        <w:t xml:space="preserve"> (or even to have a negative balance)</w:t>
      </w:r>
      <w:r>
        <w:t>.</w:t>
      </w:r>
      <w:r w:rsidR="00D97DC9">
        <w:rPr>
          <w:rStyle w:val="FootnoteReference"/>
        </w:rPr>
        <w:footnoteReference w:id="3"/>
      </w:r>
      <w:r>
        <w:t xml:space="preserve"> If the Central Bank insisted that sales could only go ahead if the Buyer’s Bank had sufficient excess reserves to allow it, then the Buyer’s cash purchase would be voided—even though the Buyer had sufficient funds in his account. This is the basis of Holmes’s observation that the Reserve is relatively powerless in the short term: to exert its power would undermine the public’s trust in banks as means of payment.</w:t>
      </w:r>
      <w:r w:rsidRPr="001310D5">
        <w:t xml:space="preserve"> </w:t>
      </w:r>
    </w:p>
    <w:p w:rsidR="001310D5" w:rsidRDefault="001310D5" w:rsidP="001310D5">
      <w:r>
        <w:t xml:space="preserve">The model also </w:t>
      </w:r>
      <w:r w:rsidR="00D97DC9">
        <w:t xml:space="preserve">shows </w:t>
      </w:r>
      <w:r>
        <w:t xml:space="preserve">that the credit </w:t>
      </w:r>
      <w:r w:rsidR="00D97DC9">
        <w:t xml:space="preserve">card transaction </w:t>
      </w:r>
      <w:r>
        <w:t xml:space="preserve">creates both a new loan (in the Buyer’s Bank) and new money (in the Seller’s Bank). The credit transaction is shown in two steps: firstly the Buyer accesses some of the unused credit limit in his credit card account by </w:t>
      </w:r>
      <w:r w:rsidR="00D97DC9">
        <w:t xml:space="preserve">the flow </w:t>
      </w:r>
      <w:r w:rsidR="00D97DC9" w:rsidRPr="00D97DC9">
        <w:rPr>
          <w:i/>
        </w:rPr>
        <w:t>Card</w:t>
      </w:r>
      <w:r w:rsidR="00D97DC9">
        <w:t>. This increases the loans of Buyer Bank (</w:t>
      </w:r>
      <w:r w:rsidR="00D97DC9" w:rsidRPr="00D97DC9">
        <w:rPr>
          <w:i/>
        </w:rPr>
        <w:t>L</w:t>
      </w:r>
      <w:r w:rsidR="00D97DC9" w:rsidRPr="00D97DC9">
        <w:rPr>
          <w:i/>
          <w:vertAlign w:val="subscript"/>
        </w:rPr>
        <w:t>BB</w:t>
      </w:r>
      <w:r w:rsidR="00D97DC9">
        <w:t xml:space="preserve">) amount in the buyer’s deposit account </w:t>
      </w:r>
      <w:r w:rsidR="00D97DC9" w:rsidRPr="00D97DC9">
        <w:rPr>
          <w:i/>
        </w:rPr>
        <w:t>D</w:t>
      </w:r>
      <w:r w:rsidR="00D97DC9" w:rsidRPr="00D97DC9">
        <w:rPr>
          <w:i/>
          <w:vertAlign w:val="subscript"/>
        </w:rPr>
        <w:t>B</w:t>
      </w:r>
      <w:r w:rsidR="00D97DC9">
        <w:t>, matched by an increase in the Buyer’s deposit account (</w:t>
      </w:r>
      <w:r w:rsidR="00D97DC9" w:rsidRPr="00D97DC9">
        <w:rPr>
          <w:i/>
        </w:rPr>
        <w:t>D</w:t>
      </w:r>
      <w:r w:rsidR="00D97DC9" w:rsidRPr="00D97DC9">
        <w:rPr>
          <w:i/>
          <w:vertAlign w:val="subscript"/>
        </w:rPr>
        <w:t>B</w:t>
      </w:r>
      <w:r w:rsidR="00D97DC9">
        <w:t xml:space="preserve">). Then the additional money is used to buy the product by a transfer of the flow Card from the Buyer’s account </w:t>
      </w:r>
      <w:r w:rsidR="00D97DC9" w:rsidRPr="00D97DC9">
        <w:rPr>
          <w:i/>
        </w:rPr>
        <w:t>D</w:t>
      </w:r>
      <w:r w:rsidR="00D97DC9" w:rsidRPr="00D97DC9">
        <w:rPr>
          <w:i/>
          <w:vertAlign w:val="subscript"/>
        </w:rPr>
        <w:t>B</w:t>
      </w:r>
      <w:r w:rsidR="00D97DC9">
        <w:t xml:space="preserve"> to the Seller’s account </w:t>
      </w:r>
      <w:r w:rsidR="00D97DC9" w:rsidRPr="00D97DC9">
        <w:rPr>
          <w:i/>
        </w:rPr>
        <w:t>D</w:t>
      </w:r>
      <w:r w:rsidR="00D97DC9" w:rsidRPr="00D97DC9">
        <w:rPr>
          <w:i/>
          <w:vertAlign w:val="subscript"/>
        </w:rPr>
        <w:t>S</w:t>
      </w:r>
      <w:r w:rsidR="00D97DC9">
        <w:t>. This again requires a transfer of reserves from Buyer Bank’s account at the Central Bank (</w:t>
      </w:r>
      <w:r w:rsidR="00D97DC9" w:rsidRPr="00D97DC9">
        <w:rPr>
          <w:i/>
        </w:rPr>
        <w:t>R</w:t>
      </w:r>
      <w:r w:rsidR="00D97DC9" w:rsidRPr="00D97DC9">
        <w:rPr>
          <w:i/>
          <w:vertAlign w:val="subscript"/>
        </w:rPr>
        <w:t>BB</w:t>
      </w:r>
      <w:r w:rsidR="00D97DC9">
        <w:t>) to the Seller Bank’s account (</w:t>
      </w:r>
      <w:r w:rsidR="00D97DC9" w:rsidRPr="00D97DC9">
        <w:rPr>
          <w:i/>
        </w:rPr>
        <w:t>R</w:t>
      </w:r>
      <w:r w:rsidR="00D97DC9" w:rsidRPr="00D97DC9">
        <w:rPr>
          <w:i/>
          <w:vertAlign w:val="subscript"/>
        </w:rPr>
        <w:t>SB</w:t>
      </w:r>
      <w:r w:rsidR="00D97DC9">
        <w:t>).</w:t>
      </w:r>
    </w:p>
    <w:p w:rsidR="001310D5" w:rsidRDefault="00015617" w:rsidP="00014468">
      <w:r>
        <w:t>If this transaction resulted in Buyer Bank breaching its reserve requirements, it could either borrow the reserves from Seller Bank—which has clearly accumulated excess reserves—or from the Central Bank. Again, if the Central Bank failed to provide these funds, the Buyer’s quite legitimate purchase could be voided. As Holmes emphasized, the Central Bank has no choice but to provide the additional reserves, should they be required.</w:t>
      </w:r>
    </w:p>
    <w:p w:rsidR="00923A3E" w:rsidRDefault="00923A3E" w:rsidP="00923A3E">
      <w:pPr>
        <w:pStyle w:val="Caption"/>
        <w:keepNext/>
      </w:pPr>
      <w:bookmarkStart w:id="4" w:name="_Ref356160673"/>
      <w:r>
        <w:lastRenderedPageBreak/>
        <w:t xml:space="preserve">Figure </w:t>
      </w:r>
      <w:r w:rsidR="008506CF">
        <w:fldChar w:fldCharType="begin"/>
      </w:r>
      <w:r w:rsidR="008506CF">
        <w:instrText xml:space="preserve"> SEQ Figure \* ARABIC </w:instrText>
      </w:r>
      <w:r w:rsidR="008506CF">
        <w:fldChar w:fldCharType="separate"/>
      </w:r>
      <w:r w:rsidR="00E27138">
        <w:rPr>
          <w:noProof/>
        </w:rPr>
        <w:t>3</w:t>
      </w:r>
      <w:r w:rsidR="008506CF">
        <w:rPr>
          <w:noProof/>
        </w:rPr>
        <w:fldChar w:fldCharType="end"/>
      </w:r>
      <w:bookmarkEnd w:id="4"/>
      <w:r>
        <w:t>: Cash and credit purchases and reserve transfers in 3 bank system</w:t>
      </w:r>
    </w:p>
    <w:p w:rsidR="00923A3E" w:rsidRDefault="00DD6C20" w:rsidP="00014468">
      <w:r>
        <w:rPr>
          <w:noProof/>
          <w:lang w:val="en-AU" w:eastAsia="en-AU"/>
        </w:rPr>
        <w:drawing>
          <wp:inline distT="0" distB="0" distL="0" distR="0" wp14:anchorId="71B25CD1" wp14:editId="251FCBCE">
            <wp:extent cx="5943600" cy="70542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7054215"/>
                    </a:xfrm>
                    <a:prstGeom prst="rect">
                      <a:avLst/>
                    </a:prstGeom>
                  </pic:spPr>
                </pic:pic>
              </a:graphicData>
            </a:graphic>
          </wp:inline>
        </w:drawing>
      </w:r>
    </w:p>
    <w:p w:rsidR="00015617" w:rsidRPr="00014468" w:rsidRDefault="00015617" w:rsidP="00014468">
      <w:r>
        <w:t xml:space="preserve">Equation </w:t>
      </w:r>
      <w:r>
        <w:fldChar w:fldCharType="begin"/>
      </w:r>
      <w:r>
        <w:instrText xml:space="preserve"> GOTOBUTTON ZEqnNum153294  \* MERGEFORMAT </w:instrText>
      </w:r>
      <w:r w:rsidR="008506CF">
        <w:fldChar w:fldCharType="begin"/>
      </w:r>
      <w:r w:rsidR="008506CF">
        <w:instrText xml:space="preserve"> REF ZEqnNum153294 \* Charformat \! \* MERGEFORMAT </w:instrText>
      </w:r>
      <w:r w:rsidR="008506CF">
        <w:fldChar w:fldCharType="separate"/>
      </w:r>
      <w:r w:rsidR="00E27138">
        <w:instrText>(1.3)</w:instrText>
      </w:r>
      <w:r w:rsidR="008506CF">
        <w:fldChar w:fldCharType="end"/>
      </w:r>
      <w:r>
        <w:fldChar w:fldCharType="end"/>
      </w:r>
      <w:r>
        <w:t xml:space="preserve"> shows the dynamics prior to the creation of new reserves, and illustrates that the creation of a new loan also creates new money—and </w:t>
      </w:r>
      <w:r w:rsidR="00530A35">
        <w:t xml:space="preserve">this </w:t>
      </w:r>
      <w:r>
        <w:t>adds to aggregate spending power.</w:t>
      </w:r>
    </w:p>
    <w:p w:rsidR="007E3BBF" w:rsidRDefault="007E3BBF" w:rsidP="007E3BBF">
      <w:pPr>
        <w:pStyle w:val="MTDisplayEquation"/>
      </w:pPr>
      <w:r>
        <w:lastRenderedPageBreak/>
        <w:tab/>
      </w:r>
      <w:r w:rsidR="00BE5553" w:rsidRPr="00BE5553">
        <w:rPr>
          <w:position w:val="-54"/>
        </w:rPr>
        <w:object w:dxaOrig="3420" w:dyaOrig="6320">
          <v:shape id="_x0000_i1028" type="#_x0000_t75" style="width:171.85pt;height:315.85pt" o:ole="">
            <v:imagedata r:id="rId18" o:title=""/>
          </v:shape>
          <o:OLEObject Type="Embed" ProgID="Equation.DSMT4" ShapeID="_x0000_i1028" DrawAspect="Content" ObjectID="_1431228547" r:id="rId1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5" w:name="ZEqnNum153294"/>
      <w:r>
        <w:instrText>(</w:instrText>
      </w:r>
      <w:fldSimple w:instr=" SEQ MTSec \c \* Arabic \* MERGEFORMAT ">
        <w:r w:rsidR="00E27138">
          <w:rPr>
            <w:noProof/>
          </w:rPr>
          <w:instrText>1</w:instrText>
        </w:r>
      </w:fldSimple>
      <w:r>
        <w:instrText>.</w:instrText>
      </w:r>
      <w:fldSimple w:instr=" SEQ MTEqn \c \* Arabic \* MERGEFORMAT ">
        <w:r w:rsidR="00E27138">
          <w:rPr>
            <w:noProof/>
          </w:rPr>
          <w:instrText>3</w:instrText>
        </w:r>
      </w:fldSimple>
      <w:r>
        <w:instrText>)</w:instrText>
      </w:r>
      <w:bookmarkEnd w:id="5"/>
      <w:r>
        <w:fldChar w:fldCharType="end"/>
      </w:r>
    </w:p>
    <w:p w:rsidR="00014468" w:rsidRDefault="0016599B" w:rsidP="00014468">
      <w:r>
        <w:t>This simple example illustrates why the overwhelmingly dominant practice of Central Banks is to have lagging rather than leading reserve requirements</w:t>
      </w:r>
      <w:r w:rsidR="00345B78">
        <w:t>, and why Loans create Deposits and drive Reserves, rather than the other way round as in the Mythical Money Multiplier.</w:t>
      </w:r>
    </w:p>
    <w:p w:rsidR="00683D60" w:rsidRPr="00683D60" w:rsidRDefault="00683D60" w:rsidP="00014468">
      <w:pPr>
        <w:rPr>
          <w:b/>
        </w:rPr>
      </w:pPr>
      <w:r>
        <w:t xml:space="preserve">If we now </w:t>
      </w:r>
      <w:r w:rsidR="00530A35">
        <w:t>add some simple numerical dynamics</w:t>
      </w:r>
      <w:r>
        <w:t xml:space="preserve"> </w:t>
      </w:r>
      <w:r w:rsidR="00530A35">
        <w:t>to</w:t>
      </w:r>
      <w:r>
        <w:t xml:space="preserve"> these </w:t>
      </w:r>
      <w:r w:rsidR="00530A35">
        <w:t xml:space="preserve">symbolic </w:t>
      </w:r>
      <w:r>
        <w:t>monetary examples, we can see why the Neoclassical “banks, debt and money don’t matter in macroeconomics” position is vitally dependent on the neat, plausible but wrong Loanable Funds model—and why banks, debt and money matter a great deal in macroeconomics in the empirically accurate Endogenous Money perspective.</w:t>
      </w:r>
    </w:p>
    <w:p w:rsidR="00A64614" w:rsidRDefault="002A472C" w:rsidP="00395713">
      <w:pPr>
        <w:pStyle w:val="Heading1"/>
      </w:pPr>
      <w:r>
        <w:t xml:space="preserve">Loanable Funds with </w:t>
      </w:r>
      <w:r w:rsidR="0006610C">
        <w:t xml:space="preserve">Implicit </w:t>
      </w:r>
      <w:r>
        <w:t>Production</w:t>
      </w:r>
    </w:p>
    <w:p w:rsidR="0006610C" w:rsidRDefault="0006610C" w:rsidP="0006610C">
      <w:r>
        <w:t xml:space="preserve">The next model puts flesh on the Neoclassical argument that aggregate private debt, and changes in debt dynamics, don’t matter in macroeconomics—as indeed they don’t in a Loanable </w:t>
      </w:r>
      <w:r w:rsidR="00CA03CC">
        <w:t>Funds world.</w:t>
      </w:r>
      <w:r w:rsidR="00CA03CC">
        <w:rPr>
          <w:rStyle w:val="FootnoteReference"/>
        </w:rPr>
        <w:footnoteReference w:id="4"/>
      </w:r>
    </w:p>
    <w:p w:rsidR="00396A62" w:rsidRDefault="00396A62" w:rsidP="0006610C">
      <w:r>
        <w:lastRenderedPageBreak/>
        <w:t>“Impatient” is now assumed to be the firm sector—as in the Endogenous Money model—and  is borrowing from “Patient” in order to hire workers to produce output, which is then sold to Patient agents and Workers.</w:t>
      </w:r>
    </w:p>
    <w:p w:rsidR="00CA03CC" w:rsidRDefault="00CA03CC" w:rsidP="00CA03CC">
      <w:pPr>
        <w:pStyle w:val="Caption"/>
        <w:keepNext/>
      </w:pPr>
      <w:r>
        <w:t xml:space="preserve">Figure </w:t>
      </w:r>
      <w:r w:rsidR="008506CF">
        <w:fldChar w:fldCharType="begin"/>
      </w:r>
      <w:r w:rsidR="008506CF">
        <w:instrText xml:space="preserve"> SEQ Figure \* ARABIC </w:instrText>
      </w:r>
      <w:r w:rsidR="008506CF">
        <w:fldChar w:fldCharType="separate"/>
      </w:r>
      <w:r w:rsidR="00E27138">
        <w:rPr>
          <w:noProof/>
        </w:rPr>
        <w:t>4</w:t>
      </w:r>
      <w:r w:rsidR="008506CF">
        <w:rPr>
          <w:noProof/>
        </w:rPr>
        <w:fldChar w:fldCharType="end"/>
      </w:r>
      <w:r w:rsidRPr="00A11605">
        <w:t>: Loanable funds with implicit production</w:t>
      </w:r>
    </w:p>
    <w:p w:rsidR="00CA03CC" w:rsidRDefault="00CA03CC" w:rsidP="00CA03CC">
      <w:pPr>
        <w:keepNext/>
      </w:pPr>
      <w:r>
        <w:rPr>
          <w:noProof/>
          <w:lang w:val="en-AU" w:eastAsia="en-AU"/>
        </w:rPr>
        <w:drawing>
          <wp:inline distT="0" distB="0" distL="0" distR="0" wp14:anchorId="2DE6D42E" wp14:editId="0B66A3AF">
            <wp:extent cx="5943600" cy="534860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5348605"/>
                    </a:xfrm>
                    <a:prstGeom prst="rect">
                      <a:avLst/>
                    </a:prstGeom>
                  </pic:spPr>
                </pic:pic>
              </a:graphicData>
            </a:graphic>
          </wp:inline>
        </w:drawing>
      </w:r>
    </w:p>
    <w:p w:rsidR="00F74585" w:rsidRDefault="00F74585" w:rsidP="00CA03CC">
      <w:pPr>
        <w:keepNext/>
      </w:pPr>
      <w:r>
        <w:t xml:space="preserve">Production and distribution are implicitly modeled as a </w:t>
      </w:r>
      <w:r w:rsidR="004E1666">
        <w:t xml:space="preserve">turnover period </w:t>
      </w:r>
      <w:r>
        <w:t>between the outlay of expenditure (on wages, etc.) and the receipt of payments</w:t>
      </w:r>
      <w:r w:rsidR="004E1666">
        <w:t>,</w:t>
      </w:r>
      <w:r>
        <w:t xml:space="preserve"> </w:t>
      </w:r>
      <w:r w:rsidR="004E1666">
        <w:t>using</w:t>
      </w:r>
      <w:r>
        <w:t xml:space="preserve"> the time constant </w:t>
      </w:r>
      <w:r w:rsidRPr="004E1666">
        <w:rPr>
          <w:rFonts w:ascii="Symbol" w:hAnsi="Symbol"/>
          <w:i/>
        </w:rPr>
        <w:t></w:t>
      </w:r>
      <w:r w:rsidRPr="00F74585">
        <w:rPr>
          <w:i/>
          <w:vertAlign w:val="subscript"/>
        </w:rPr>
        <w:t>S</w:t>
      </w:r>
      <w:r>
        <w:t xml:space="preserve">. Since “Impatient agents” are the firm sector, the annual turnover in this account is equivalent to GDP. Wages are then GDP multiplied by workers’ share of output </w:t>
      </w:r>
      <w:r w:rsidRPr="00F74585">
        <w:rPr>
          <w:i/>
        </w:rPr>
        <w:t>w</w:t>
      </w:r>
      <w:r w:rsidRPr="00F74585">
        <w:rPr>
          <w:i/>
          <w:vertAlign w:val="subscript"/>
        </w:rPr>
        <w:t>S</w:t>
      </w:r>
      <w:r>
        <w:t>.</w:t>
      </w:r>
      <w:r>
        <w:rPr>
          <w:rStyle w:val="FootnoteReference"/>
        </w:rPr>
        <w:footnoteReference w:id="5"/>
      </w:r>
      <w:r w:rsidR="004E1666">
        <w:t xml:space="preserve"> Long-run GDP is thus determined by the amount of money that accumulates in Impatient’s account and the turnover period, and drastic variations to </w:t>
      </w:r>
      <w:r w:rsidR="004E1666">
        <w:lastRenderedPageBreak/>
        <w:t>lending behavior have very little impact on this amount. Crucially, changes to lending parameters have no impact on the amount of money in the model, which remains constant throughout.</w:t>
      </w:r>
    </w:p>
    <w:p w:rsidR="00E81D04" w:rsidRDefault="00E81D04" w:rsidP="00CA03CC">
      <w:pPr>
        <w:keepNext/>
      </w:pPr>
      <w:r>
        <w:t xml:space="preserve">Equation </w:t>
      </w:r>
      <w:r>
        <w:fldChar w:fldCharType="begin"/>
      </w:r>
      <w:r>
        <w:instrText xml:space="preserve"> GOTOBUTTON ZEqnNum781396  \* MERGEFORMAT </w:instrText>
      </w:r>
      <w:r w:rsidR="008506CF">
        <w:fldChar w:fldCharType="begin"/>
      </w:r>
      <w:r w:rsidR="008506CF">
        <w:instrText xml:space="preserve"> REF ZEqnNum781396 \* Charformat \! \* MERGEFORMAT </w:instrText>
      </w:r>
      <w:r w:rsidR="008506CF">
        <w:fldChar w:fldCharType="separate"/>
      </w:r>
      <w:r w:rsidR="00E27138">
        <w:instrText>(1.4)</w:instrText>
      </w:r>
      <w:r w:rsidR="008506CF">
        <w:fldChar w:fldCharType="end"/>
      </w:r>
      <w:r>
        <w:fldChar w:fldCharType="end"/>
      </w:r>
      <w:r>
        <w:t xml:space="preserve"> shows the new equations added to the model in equation </w:t>
      </w:r>
      <w:r>
        <w:fldChar w:fldCharType="begin"/>
      </w:r>
      <w:r>
        <w:instrText xml:space="preserve"> GOTOBUTTON ZEqnNum240237  \* MERGEFORMAT </w:instrText>
      </w:r>
      <w:r w:rsidR="008506CF">
        <w:fldChar w:fldCharType="begin"/>
      </w:r>
      <w:r w:rsidR="008506CF">
        <w:instrText xml:space="preserve"> REF ZEqnNum240237 \* Charformat \! \* MERGEFORMAT </w:instrText>
      </w:r>
      <w:r w:rsidR="008506CF">
        <w:fldChar w:fldCharType="separate"/>
      </w:r>
      <w:r w:rsidR="00E27138">
        <w:instrText>(1.1)</w:instrText>
      </w:r>
      <w:r w:rsidR="008506CF">
        <w:fldChar w:fldCharType="end"/>
      </w:r>
      <w:r>
        <w:fldChar w:fldCharType="end"/>
      </w:r>
      <w:r>
        <w:t xml:space="preserve">—as well as the </w:t>
      </w:r>
      <w:r w:rsidR="0080798C">
        <w:t>pivotal</w:t>
      </w:r>
      <w:r>
        <w:t xml:space="preserve"> equation that the rate of change of the money stock is zero.</w:t>
      </w:r>
    </w:p>
    <w:p w:rsidR="00757729" w:rsidRDefault="00757729" w:rsidP="00757729">
      <w:pPr>
        <w:pStyle w:val="MTDisplayEquation"/>
      </w:pPr>
      <w:r>
        <w:tab/>
      </w:r>
      <w:r w:rsidR="00A80E1F" w:rsidRPr="00A80E1F">
        <w:rPr>
          <w:position w:val="-134"/>
        </w:rPr>
        <w:object w:dxaOrig="5980" w:dyaOrig="7720">
          <v:shape id="_x0000_i1029" type="#_x0000_t75" style="width:299.2pt;height:386.85pt" o:ole="">
            <v:imagedata r:id="rId21" o:title=""/>
          </v:shape>
          <o:OLEObject Type="Embed" ProgID="Equation.DSMT4" ShapeID="_x0000_i1029" DrawAspect="Content" ObjectID="_1431228548" r:id="rId22"/>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6" w:name="ZEqnNum781396"/>
      <w:r>
        <w:instrText>(</w:instrText>
      </w:r>
      <w:fldSimple w:instr=" SEQ MTSec \c \* Arabic \* MERGEFORMAT ">
        <w:r w:rsidR="00E27138">
          <w:rPr>
            <w:noProof/>
          </w:rPr>
          <w:instrText>1</w:instrText>
        </w:r>
      </w:fldSimple>
      <w:r>
        <w:instrText>.</w:instrText>
      </w:r>
      <w:fldSimple w:instr=" SEQ MTEqn \c \* Arabic \* MERGEFORMAT ">
        <w:r w:rsidR="00E27138">
          <w:rPr>
            <w:noProof/>
          </w:rPr>
          <w:instrText>4</w:instrText>
        </w:r>
      </w:fldSimple>
      <w:r>
        <w:instrText>)</w:instrText>
      </w:r>
      <w:bookmarkEnd w:id="6"/>
      <w:r>
        <w:fldChar w:fldCharType="end"/>
      </w:r>
    </w:p>
    <w:p w:rsidR="002A472C" w:rsidRDefault="002A472C" w:rsidP="00395713">
      <w:pPr>
        <w:pStyle w:val="Heading1"/>
      </w:pPr>
      <w:r>
        <w:t xml:space="preserve">Endogenous Money with </w:t>
      </w:r>
      <w:r w:rsidR="0006610C">
        <w:t xml:space="preserve">Implicit </w:t>
      </w:r>
      <w:r>
        <w:t>Production</w:t>
      </w:r>
    </w:p>
    <w:p w:rsidR="00E81D04" w:rsidRPr="00E81D04" w:rsidRDefault="00E81D04" w:rsidP="00E81D04">
      <w:r>
        <w:t>Whereas changing the parameters determining lending and repayment has only trivial effects in the Loanable Funds model, they have dramatic impacts in the Endogenous Money model</w:t>
      </w:r>
      <w:r w:rsidR="00530A35">
        <w:t>,</w:t>
      </w:r>
      <w:r>
        <w:t xml:space="preserve"> because they change the rate of growth of the money stock</w:t>
      </w:r>
      <w:r w:rsidR="00B02622">
        <w:t xml:space="preserve"> (see </w:t>
      </w:r>
      <w:r w:rsidR="00B02622">
        <w:fldChar w:fldCharType="begin"/>
      </w:r>
      <w:r w:rsidR="00B02622">
        <w:instrText xml:space="preserve"> REF _Ref356757097 \h </w:instrText>
      </w:r>
      <w:r w:rsidR="00B02622">
        <w:fldChar w:fldCharType="separate"/>
      </w:r>
      <w:r w:rsidR="00E27138">
        <w:t xml:space="preserve">Figure </w:t>
      </w:r>
      <w:r w:rsidR="00E27138">
        <w:rPr>
          <w:noProof/>
        </w:rPr>
        <w:t>5</w:t>
      </w:r>
      <w:r w:rsidR="00B02622">
        <w:fldChar w:fldCharType="end"/>
      </w:r>
      <w:r w:rsidR="00B02622">
        <w:t>)</w:t>
      </w:r>
      <w:r>
        <w:t>.</w:t>
      </w:r>
    </w:p>
    <w:p w:rsidR="007E614D" w:rsidRDefault="007E614D" w:rsidP="007E614D">
      <w:pPr>
        <w:pStyle w:val="Caption"/>
        <w:keepNext/>
      </w:pPr>
      <w:bookmarkStart w:id="7" w:name="_Ref356757097"/>
      <w:r>
        <w:lastRenderedPageBreak/>
        <w:t xml:space="preserve">Figure </w:t>
      </w:r>
      <w:r w:rsidR="008506CF">
        <w:fldChar w:fldCharType="begin"/>
      </w:r>
      <w:r w:rsidR="008506CF">
        <w:instrText xml:space="preserve"> SEQ Figure \* ARABIC </w:instrText>
      </w:r>
      <w:r w:rsidR="008506CF">
        <w:fldChar w:fldCharType="separate"/>
      </w:r>
      <w:r w:rsidR="00E27138">
        <w:rPr>
          <w:noProof/>
        </w:rPr>
        <w:t>5</w:t>
      </w:r>
      <w:r w:rsidR="008506CF">
        <w:rPr>
          <w:noProof/>
        </w:rPr>
        <w:fldChar w:fldCharType="end"/>
      </w:r>
      <w:bookmarkEnd w:id="7"/>
      <w:r>
        <w:t>: Endogenous money with implicit production</w:t>
      </w:r>
    </w:p>
    <w:p w:rsidR="002A472C" w:rsidRDefault="007E614D" w:rsidP="00014468">
      <w:r>
        <w:rPr>
          <w:noProof/>
          <w:lang w:val="en-AU" w:eastAsia="en-AU"/>
        </w:rPr>
        <w:drawing>
          <wp:inline distT="0" distB="0" distL="0" distR="0" wp14:anchorId="1573574B" wp14:editId="513F5179">
            <wp:extent cx="5943600" cy="519747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43600" cy="5197475"/>
                    </a:xfrm>
                    <a:prstGeom prst="rect">
                      <a:avLst/>
                    </a:prstGeom>
                  </pic:spPr>
                </pic:pic>
              </a:graphicData>
            </a:graphic>
          </wp:inline>
        </w:drawing>
      </w:r>
    </w:p>
    <w:p w:rsidR="00B02622" w:rsidRDefault="00B02622" w:rsidP="00014468">
      <w:r>
        <w:t xml:space="preserve">Equation </w:t>
      </w:r>
      <w:r>
        <w:fldChar w:fldCharType="begin"/>
      </w:r>
      <w:r>
        <w:instrText xml:space="preserve"> GOTOBUTTON ZEqnNum854235  \* MERGEFORMAT </w:instrText>
      </w:r>
      <w:r w:rsidR="008506CF">
        <w:fldChar w:fldCharType="begin"/>
      </w:r>
      <w:r w:rsidR="008506CF">
        <w:instrText xml:space="preserve"> REF ZEqnNum854235 \* Charformat \! \* MERGEFORMAT </w:instrText>
      </w:r>
      <w:r w:rsidR="008506CF">
        <w:fldChar w:fldCharType="separate"/>
      </w:r>
      <w:r w:rsidR="00E27138">
        <w:instrText>(1.5)</w:instrText>
      </w:r>
      <w:r w:rsidR="008506CF">
        <w:fldChar w:fldCharType="end"/>
      </w:r>
      <w:r>
        <w:fldChar w:fldCharType="end"/>
      </w:r>
      <w:r>
        <w:t xml:space="preserve"> shows the new equations added in the model to those in equation </w:t>
      </w:r>
      <w:r>
        <w:fldChar w:fldCharType="begin"/>
      </w:r>
      <w:r>
        <w:instrText xml:space="preserve"> GOTOBUTTON ZEqnNum211462  \* MERGEFORMAT </w:instrText>
      </w:r>
      <w:r w:rsidR="008506CF">
        <w:fldChar w:fldCharType="begin"/>
      </w:r>
      <w:r w:rsidR="008506CF">
        <w:instrText xml:space="preserve"> REF ZEqnNum211462 \* Charformat \! \* MERGEFORMAT </w:instrText>
      </w:r>
      <w:r w:rsidR="008506CF">
        <w:fldChar w:fldCharType="separate"/>
      </w:r>
      <w:r w:rsidR="00E27138">
        <w:instrText>(1.2)</w:instrText>
      </w:r>
      <w:r w:rsidR="008506CF">
        <w:fldChar w:fldCharType="end"/>
      </w:r>
      <w:r>
        <w:fldChar w:fldCharType="end"/>
      </w:r>
      <w:r>
        <w:t>, in addition to the crucial equation that the rate of change of money stock is a function of the difference between the creation of new loans and the repayment of old ones.</w:t>
      </w:r>
    </w:p>
    <w:p w:rsidR="007E614D" w:rsidRDefault="007E614D" w:rsidP="007E614D">
      <w:pPr>
        <w:pStyle w:val="MTDisplayEquation"/>
      </w:pPr>
      <w:r>
        <w:lastRenderedPageBreak/>
        <w:tab/>
      </w:r>
      <w:r w:rsidR="00E81D04" w:rsidRPr="007E614D">
        <w:rPr>
          <w:position w:val="-188"/>
        </w:rPr>
        <w:object w:dxaOrig="5880" w:dyaOrig="3879">
          <v:shape id="_x0000_i1030" type="#_x0000_t75" style="width:293.1pt;height:195.3pt" o:ole="">
            <v:imagedata r:id="rId24" o:title=""/>
          </v:shape>
          <o:OLEObject Type="Embed" ProgID="Equation.DSMT4" ShapeID="_x0000_i1030" DrawAspect="Content" ObjectID="_1431228549" r:id="rId25"/>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8" w:name="ZEqnNum854235"/>
      <w:r>
        <w:instrText>(</w:instrText>
      </w:r>
      <w:fldSimple w:instr=" SEQ MTSec \c \* Arabic \* MERGEFORMAT ">
        <w:r w:rsidR="00E27138">
          <w:rPr>
            <w:noProof/>
          </w:rPr>
          <w:instrText>1</w:instrText>
        </w:r>
      </w:fldSimple>
      <w:r>
        <w:instrText>.</w:instrText>
      </w:r>
      <w:fldSimple w:instr=" SEQ MTEqn \c \* Arabic \* MERGEFORMAT ">
        <w:r w:rsidR="00E27138">
          <w:rPr>
            <w:noProof/>
          </w:rPr>
          <w:instrText>5</w:instrText>
        </w:r>
      </w:fldSimple>
      <w:r>
        <w:instrText>)</w:instrText>
      </w:r>
      <w:bookmarkEnd w:id="8"/>
      <w:r>
        <w:fldChar w:fldCharType="end"/>
      </w:r>
    </w:p>
    <w:p w:rsidR="00E81D04" w:rsidRDefault="00E81D04" w:rsidP="00B02622">
      <w:pPr>
        <w:pStyle w:val="Heading1"/>
      </w:pPr>
      <w:r>
        <w:t>Endogenous money and effective demand</w:t>
      </w:r>
    </w:p>
    <w:p w:rsidR="00A370B0" w:rsidRDefault="00FF2187" w:rsidP="00FF2187">
      <w:r>
        <w:fldChar w:fldCharType="begin"/>
      </w:r>
      <w:r>
        <w:instrText xml:space="preserve"> REF _Ref356757097 \h </w:instrText>
      </w:r>
      <w:r>
        <w:fldChar w:fldCharType="separate"/>
      </w:r>
      <w:r w:rsidR="00E27138">
        <w:t xml:space="preserve">Figure </w:t>
      </w:r>
      <w:r w:rsidR="00E27138">
        <w:rPr>
          <w:noProof/>
        </w:rPr>
        <w:t>5</w:t>
      </w:r>
      <w:r>
        <w:fldChar w:fldCharType="end"/>
      </w:r>
      <w:r>
        <w:t xml:space="preserve"> also illustrates a key consequence of endogenous money: the creation of new money via the creation of new debt adds to aggregate demand above and beyond that from current incomes alone, so that in a monetary economy aggregate demand is income </w:t>
      </w:r>
      <w:r w:rsidRPr="00FF2187">
        <w:rPr>
          <w:i/>
        </w:rPr>
        <w:t>plus the change in debt</w:t>
      </w:r>
      <w:r w:rsidR="00A370B0">
        <w:t>.</w:t>
      </w:r>
    </w:p>
    <w:p w:rsidR="00FF2187" w:rsidRDefault="00FF2187" w:rsidP="00FF2187">
      <w:r>
        <w:t>This is entirely consistent with sectoral balances—as the model also demonstrates, since it is</w:t>
      </w:r>
      <w:r w:rsidR="002418EE">
        <w:t xml:space="preserve"> innately stock-flow consistent </w:t>
      </w:r>
      <w:r w:rsidR="002418EE">
        <w:fldChar w:fldCharType="begin"/>
      </w:r>
      <w:r w:rsidR="0080798C">
        <w:instrText xml:space="preserve"> ADDIN EN.CITE &lt;EndNote&gt;&lt;Cite&gt;&lt;Author&gt;Godley&lt;/Author&gt;&lt;Year&gt;2005&lt;/Year&gt;&lt;RecNum&gt;1263&lt;/RecNum&gt;&lt;Prefix&gt;any stock-flow errors would be shown by the Row Sum function in the Godley Table being non-zero`; since it is zero in all rows`, then as required for sectoral balance`, all flows “come from somewhere and go somewhere” &lt;/Prefix&gt;&lt;Suffix&gt;`, p. 243&lt;/Suffix&gt;&lt;DisplayText&gt;(any stock-flow errors would be shown by the Row Sum function in the Godley Table being non-zero; since it is zero in all rows, then as required for sectoral balance, all flows “come from somewhere and go somewhere” Godley and Lavoie 2005, p. 243)&lt;/DisplayText&gt;&lt;record&gt;&lt;rec-number&gt;1263&lt;/rec-number&gt;&lt;foreign-keys&gt;&lt;key app="EN" db-id="avereev0mavvele2e0pvtaw6xzxpwd0tpdv5"&gt;1263&lt;/key&gt;&lt;/foreign-keys&gt;&lt;ref-type name="Journal Article"&gt;17&lt;/ref-type&gt;&lt;contributors&gt;&lt;authors&gt;&lt;author&gt;Godley, Wynne&lt;/author&gt;&lt;author&gt;Lavoie, Marc&lt;/author&gt;&lt;/authors&gt;&lt;/contributors&gt;&lt;auth-address&gt;CERF&amp;#xD;U Ottawa&lt;/auth-address&gt;&lt;titles&gt;&lt;title&gt;Comprehensive Accounting in Simple Open Economy Macroeconomics with Endogenous Sterilization or Flexible Exchange Rates&lt;/title&gt;&lt;secondary-title&gt;Journal of Post Keynesian Economics&lt;/secondary-title&gt;&lt;/titles&gt;&lt;periodical&gt;&lt;full-title&gt;Journal of Post Keynesian Economics&lt;/full-title&gt;&lt;/periodical&gt;&lt;pages&gt;241-276&lt;/pages&gt;&lt;volume&gt;28&lt;/volume&gt;&lt;number&gt;2&lt;/number&gt;&lt;keywords&gt;&lt;keyword&gt;Foreign Exchange F310&lt;/keyword&gt;&lt;keyword&gt;International Monetary Arrangements and Institutions F330&lt;/keyword&gt;&lt;keyword&gt;Open Economy Macroeconomics F410&lt;/keyword&gt;&lt;/keywords&gt;&lt;dates&gt;&lt;year&gt;2005&lt;/year&gt;&lt;pub-dates&gt;&lt;date&gt;Winter 2005-2006&lt;/date&gt;&lt;/pub-dates&gt;&lt;/dates&gt;&lt;isbn&gt;01603477&lt;/isbn&gt;&lt;urls&gt;&lt;related-urls&gt;&lt;url&gt;http://www.mesharpe.com/mall/results1.asp?ACR=PKE&lt;/url&gt;&lt;url&gt;http://search.ebscohost.com/login.aspx?direct=true&amp;amp;db=ecn&amp;amp;AN=0849644&amp;amp;site=ehost-live&lt;/url&gt;&lt;/related-urls&gt;&lt;/urls&gt;&lt;/record&gt;&lt;/Cite&gt;&lt;/EndNote&gt;</w:instrText>
      </w:r>
      <w:r w:rsidR="002418EE">
        <w:fldChar w:fldCharType="separate"/>
      </w:r>
      <w:r w:rsidR="0080798C">
        <w:rPr>
          <w:noProof/>
        </w:rPr>
        <w:t>(</w:t>
      </w:r>
      <w:hyperlink w:anchor="_ENREF_8" w:tooltip="Godley, 2005 #1263" w:history="1">
        <w:r w:rsidR="00DD06E2">
          <w:rPr>
            <w:noProof/>
          </w:rPr>
          <w:t>any stock-flow errors would be shown by the Row Sum function in the Godley Table being non-zero; since it is zero in all rows, then as required for sectoral balance, all flows “come from somewhere and go somewhere” Godley and Lavoie 2005, p. 243</w:t>
        </w:r>
      </w:hyperlink>
      <w:r w:rsidR="0080798C">
        <w:rPr>
          <w:noProof/>
        </w:rPr>
        <w:t>)</w:t>
      </w:r>
      <w:r w:rsidR="002418EE">
        <w:fldChar w:fldCharType="end"/>
      </w:r>
      <w:r w:rsidR="002418EE">
        <w:t>.</w:t>
      </w:r>
      <w:r w:rsidR="00A370B0">
        <w:t xml:space="preserve"> </w:t>
      </w:r>
      <w:r w:rsidR="00456728">
        <w:t xml:space="preserve">Confusion over this point emanates from confusing ex-post accounting identities—in which recorded expenditure must equal recorded income—with ex-ante sources of demand that include both income and newly created </w:t>
      </w:r>
      <w:r w:rsidR="00C65F77">
        <w:t>(</w:t>
      </w:r>
      <w:r w:rsidR="00456728">
        <w:t>and expended</w:t>
      </w:r>
      <w:r w:rsidR="00C65F77">
        <w:t>)</w:t>
      </w:r>
      <w:r w:rsidR="00456728">
        <w:t xml:space="preserve"> money.</w:t>
      </w:r>
    </w:p>
    <w:p w:rsidR="00A370B0" w:rsidRDefault="00A370B0" w:rsidP="00FF2187">
      <w:r>
        <w:t xml:space="preserve">Hopefully </w:t>
      </w:r>
      <w:r w:rsidR="00F87DCC">
        <w:t xml:space="preserve">a graphical illustration can clarify this issue. </w:t>
      </w:r>
      <w:r w:rsidR="00F87DCC">
        <w:fldChar w:fldCharType="begin"/>
      </w:r>
      <w:r w:rsidR="00F87DCC">
        <w:instrText xml:space="preserve"> REF _Ref356759737 \h </w:instrText>
      </w:r>
      <w:r w:rsidR="00F87DCC">
        <w:fldChar w:fldCharType="separate"/>
      </w:r>
      <w:r w:rsidR="00E27138">
        <w:t xml:space="preserve">Figure </w:t>
      </w:r>
      <w:r w:rsidR="00E27138">
        <w:rPr>
          <w:noProof/>
        </w:rPr>
        <w:t>6</w:t>
      </w:r>
      <w:r w:rsidR="00F87DCC">
        <w:fldChar w:fldCharType="end"/>
      </w:r>
      <w:r w:rsidR="00F87DCC">
        <w:t xml:space="preserve"> shows a stylized picture of income and expenditure runn</w:t>
      </w:r>
      <w:r w:rsidR="00672944">
        <w:t>ing at a constant $1 billion per day</w:t>
      </w:r>
      <w:r w:rsidR="00F87DCC">
        <w:t xml:space="preserve">, </w:t>
      </w:r>
      <w:r w:rsidR="00672944">
        <w:t>with</w:t>
      </w:r>
      <w:r w:rsidR="00F87DCC">
        <w:t xml:space="preserve"> a debt-financed expenditure of $100 million at time </w:t>
      </w:r>
      <w:r w:rsidR="00F87DCC" w:rsidRPr="00F87DCC">
        <w:rPr>
          <w:i/>
        </w:rPr>
        <w:t>d</w:t>
      </w:r>
      <w:r w:rsidR="00F87DCC">
        <w:t>. T</w:t>
      </w:r>
      <w:r w:rsidR="00F87DCC" w:rsidRPr="00897341">
        <w:t xml:space="preserve">he effect of </w:t>
      </w:r>
      <w:r w:rsidR="00F87DCC">
        <w:t>the</w:t>
      </w:r>
      <w:r w:rsidR="00F87DCC" w:rsidRPr="00897341">
        <w:t xml:space="preserve"> loan is to bump this </w:t>
      </w:r>
      <w:r w:rsidR="00F87DCC">
        <w:t>expenditure</w:t>
      </w:r>
      <w:r w:rsidR="00F87DCC" w:rsidRPr="00897341">
        <w:t xml:space="preserve"> flow up instantaneously by an amount exactly equal to $100M/</w:t>
      </w:r>
      <w:r w:rsidR="00672944">
        <w:t>day</w:t>
      </w:r>
      <w:r w:rsidR="00F87DCC" w:rsidRPr="00897341">
        <w:t xml:space="preserve"> </w:t>
      </w:r>
      <w:r w:rsidR="00F87DCC">
        <w:t xml:space="preserve">at time </w:t>
      </w:r>
      <w:r w:rsidR="00F87DCC" w:rsidRPr="00F87DCC">
        <w:rPr>
          <w:i/>
        </w:rPr>
        <w:t>d</w:t>
      </w:r>
      <w:r w:rsidR="00F87DCC">
        <w:t xml:space="preserve"> </w:t>
      </w:r>
      <w:r w:rsidR="00F87DCC" w:rsidRPr="00897341">
        <w:t>(</w:t>
      </w:r>
      <w:r w:rsidR="00F87DCC">
        <w:t>assuming the newly created money is instantly spent</w:t>
      </w:r>
      <w:r w:rsidR="00F87DCC" w:rsidRPr="00897341">
        <w:t>)</w:t>
      </w:r>
      <w:r w:rsidR="00F87DCC">
        <w:t>.</w:t>
      </w:r>
    </w:p>
    <w:p w:rsidR="00F87DCC" w:rsidRDefault="000670EB" w:rsidP="00F87DCC">
      <w:pPr>
        <w:pStyle w:val="Caption"/>
        <w:keepNext/>
      </w:pPr>
      <w:bookmarkStart w:id="9" w:name="_Ref356759737"/>
      <w:r w:rsidRPr="000670EB">
        <w:rPr>
          <w:lang w:val="en-AU"/>
        </w:rPr>
        <w:lastRenderedPageBreak/>
        <mc:AlternateContent>
          <mc:Choice Requires="wpg">
            <w:drawing>
              <wp:anchor distT="0" distB="0" distL="114300" distR="114300" simplePos="0" relativeHeight="251659264" behindDoc="0" locked="0" layoutInCell="1" allowOverlap="1" wp14:anchorId="5CF2EAAD" wp14:editId="6E21E395">
                <wp:simplePos x="0" y="0"/>
                <wp:positionH relativeFrom="column">
                  <wp:posOffset>93123</wp:posOffset>
                </wp:positionH>
                <wp:positionV relativeFrom="paragraph">
                  <wp:posOffset>0</wp:posOffset>
                </wp:positionV>
                <wp:extent cx="4949190" cy="3264535"/>
                <wp:effectExtent l="0" t="0" r="0" b="0"/>
                <wp:wrapTopAndBottom/>
                <wp:docPr id="45" name="Group 37"/>
                <wp:cNvGraphicFramePr/>
                <a:graphic xmlns:a="http://schemas.openxmlformats.org/drawingml/2006/main">
                  <a:graphicData uri="http://schemas.microsoft.com/office/word/2010/wordprocessingGroup">
                    <wpg:wgp>
                      <wpg:cNvGrpSpPr/>
                      <wpg:grpSpPr>
                        <a:xfrm>
                          <a:off x="0" y="0"/>
                          <a:ext cx="4949190" cy="3264535"/>
                          <a:chOff x="0" y="0"/>
                          <a:chExt cx="4949794" cy="3264932"/>
                        </a:xfrm>
                      </wpg:grpSpPr>
                      <wpg:grpSp>
                        <wpg:cNvPr id="46" name="Group 46"/>
                        <wpg:cNvGrpSpPr/>
                        <wpg:grpSpPr>
                          <a:xfrm>
                            <a:off x="1052734" y="92148"/>
                            <a:ext cx="3628427" cy="2819400"/>
                            <a:chOff x="1052734" y="92148"/>
                            <a:chExt cx="3628427" cy="2819400"/>
                          </a:xfrm>
                        </wpg:grpSpPr>
                        <wps:wsp>
                          <wps:cNvPr id="47" name="Straight Arrow Connector 47"/>
                          <wps:cNvCnPr/>
                          <wps:spPr>
                            <a:xfrm flipV="1">
                              <a:off x="1066800" y="92148"/>
                              <a:ext cx="0" cy="2819400"/>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8" name="Straight Arrow Connector 48"/>
                          <wps:cNvCnPr/>
                          <wps:spPr>
                            <a:xfrm flipV="1">
                              <a:off x="1052734" y="2899372"/>
                              <a:ext cx="3628427" cy="8414"/>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49" name="Straight Connector 49"/>
                        <wps:cNvCnPr/>
                        <wps:spPr>
                          <a:xfrm>
                            <a:off x="1055841" y="1981200"/>
                            <a:ext cx="1897049"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50" name="Straight Connector 50"/>
                        <wps:cNvCnPr/>
                        <wps:spPr>
                          <a:xfrm>
                            <a:off x="2956233" y="1600200"/>
                            <a:ext cx="1524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51" name="Straight Connector 51"/>
                        <wps:cNvCnPr/>
                        <wps:spPr>
                          <a:xfrm flipV="1">
                            <a:off x="2956233" y="1600200"/>
                            <a:ext cx="0" cy="38100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2" name="TextBox 9"/>
                        <wps:cNvSpPr txBox="1"/>
                        <wps:spPr>
                          <a:xfrm>
                            <a:off x="174108" y="1778964"/>
                            <a:ext cx="946785" cy="370205"/>
                          </a:xfrm>
                          <a:prstGeom prst="rect">
                            <a:avLst/>
                          </a:prstGeom>
                          <a:noFill/>
                        </wps:spPr>
                        <wps:txbx>
                          <w:txbxContent>
                            <w:p w:rsidR="008506CF" w:rsidRDefault="008506CF" w:rsidP="000670EB">
                              <w:pPr>
                                <w:pStyle w:val="NormalWeb"/>
                                <w:spacing w:before="0" w:beforeAutospacing="0" w:after="0" w:afterAutospacing="0"/>
                              </w:pPr>
                              <w:r>
                                <w:rPr>
                                  <w:rFonts w:asciiTheme="minorHAnsi" w:hAnsi="Calibri" w:cstheme="minorBidi"/>
                                  <w:color w:val="000000" w:themeColor="text1"/>
                                  <w:kern w:val="24"/>
                                  <w:sz w:val="36"/>
                                  <w:szCs w:val="36"/>
                                  <w:lang w:val="en-US"/>
                                </w:rPr>
                                <w:t xml:space="preserve">1bn </w:t>
                              </w:r>
                              <w:proofErr w:type="spellStart"/>
                              <w:r>
                                <w:rPr>
                                  <w:rFonts w:asciiTheme="minorHAnsi" w:hAnsi="Calibri" w:cstheme="minorBidi"/>
                                  <w:color w:val="000000" w:themeColor="text1"/>
                                  <w:kern w:val="24"/>
                                  <w:sz w:val="36"/>
                                  <w:szCs w:val="36"/>
                                  <w:lang w:val="en-US"/>
                                </w:rPr>
                                <w:t>p.d</w:t>
                              </w:r>
                              <w:proofErr w:type="spellEnd"/>
                              <w:r>
                                <w:rPr>
                                  <w:rFonts w:asciiTheme="minorHAnsi" w:hAnsi="Calibri" w:cstheme="minorBidi"/>
                                  <w:color w:val="000000" w:themeColor="text1"/>
                                  <w:kern w:val="24"/>
                                  <w:sz w:val="36"/>
                                  <w:szCs w:val="36"/>
                                  <w:lang w:val="en-US"/>
                                </w:rPr>
                                <w:t>.</w:t>
                              </w:r>
                            </w:p>
                          </w:txbxContent>
                        </wps:txbx>
                        <wps:bodyPr wrap="none" rtlCol="0">
                          <a:spAutoFit/>
                        </wps:bodyPr>
                      </wps:wsp>
                      <wps:wsp>
                        <wps:cNvPr id="53" name="TextBox 10"/>
                        <wps:cNvSpPr txBox="1"/>
                        <wps:spPr>
                          <a:xfrm>
                            <a:off x="0" y="1387379"/>
                            <a:ext cx="1120140" cy="370205"/>
                          </a:xfrm>
                          <a:prstGeom prst="rect">
                            <a:avLst/>
                          </a:prstGeom>
                          <a:noFill/>
                        </wps:spPr>
                        <wps:txbx>
                          <w:txbxContent>
                            <w:p w:rsidR="008506CF" w:rsidRDefault="008506CF" w:rsidP="000670EB">
                              <w:pPr>
                                <w:pStyle w:val="NormalWeb"/>
                                <w:spacing w:before="0" w:beforeAutospacing="0" w:after="0" w:afterAutospacing="0"/>
                              </w:pPr>
                              <w:r>
                                <w:rPr>
                                  <w:rFonts w:asciiTheme="minorHAnsi" w:hAnsi="Calibri" w:cstheme="minorBidi"/>
                                  <w:color w:val="000000" w:themeColor="text1"/>
                                  <w:kern w:val="24"/>
                                  <w:sz w:val="36"/>
                                  <w:szCs w:val="36"/>
                                  <w:lang w:val="en-US"/>
                                </w:rPr>
                                <w:t xml:space="preserve">1.1bn </w:t>
                              </w:r>
                              <w:proofErr w:type="spellStart"/>
                              <w:r>
                                <w:rPr>
                                  <w:rFonts w:asciiTheme="minorHAnsi" w:hAnsi="Calibri" w:cstheme="minorBidi"/>
                                  <w:color w:val="000000" w:themeColor="text1"/>
                                  <w:kern w:val="24"/>
                                  <w:sz w:val="36"/>
                                  <w:szCs w:val="36"/>
                                  <w:lang w:val="en-US"/>
                                </w:rPr>
                                <w:t>p.d</w:t>
                              </w:r>
                              <w:proofErr w:type="spellEnd"/>
                              <w:r>
                                <w:rPr>
                                  <w:rFonts w:asciiTheme="minorHAnsi" w:hAnsi="Calibri" w:cstheme="minorBidi"/>
                                  <w:color w:val="000000" w:themeColor="text1"/>
                                  <w:kern w:val="24"/>
                                  <w:sz w:val="36"/>
                                  <w:szCs w:val="36"/>
                                  <w:lang w:val="en-US"/>
                                </w:rPr>
                                <w:t>.</w:t>
                              </w:r>
                            </w:p>
                          </w:txbxContent>
                        </wps:txbx>
                        <wps:bodyPr wrap="none" rtlCol="0">
                          <a:spAutoFit/>
                        </wps:bodyPr>
                      </wps:wsp>
                      <wps:wsp>
                        <wps:cNvPr id="54" name="TextBox 11"/>
                        <wps:cNvSpPr txBox="1"/>
                        <wps:spPr>
                          <a:xfrm>
                            <a:off x="2859018" y="2851204"/>
                            <a:ext cx="306494" cy="369332"/>
                          </a:xfrm>
                          <a:prstGeom prst="rect">
                            <a:avLst/>
                          </a:prstGeom>
                          <a:noFill/>
                        </wps:spPr>
                        <wps:txbx>
                          <w:txbxContent>
                            <w:p w:rsidR="008506CF" w:rsidRDefault="008506CF" w:rsidP="000670EB">
                              <w:pPr>
                                <w:pStyle w:val="NormalWeb"/>
                                <w:spacing w:before="0" w:beforeAutospacing="0" w:after="0" w:afterAutospacing="0"/>
                              </w:pPr>
                              <w:proofErr w:type="gramStart"/>
                              <w:r>
                                <w:rPr>
                                  <w:rFonts w:asciiTheme="minorHAnsi" w:hAnsi="Calibri" w:cstheme="minorBidi"/>
                                  <w:color w:val="000000" w:themeColor="text1"/>
                                  <w:kern w:val="24"/>
                                  <w:sz w:val="36"/>
                                  <w:szCs w:val="36"/>
                                  <w:lang w:val="en-US"/>
                                </w:rPr>
                                <w:t>d</w:t>
                              </w:r>
                              <w:proofErr w:type="gramEnd"/>
                            </w:p>
                          </w:txbxContent>
                        </wps:txbx>
                        <wps:bodyPr wrap="none" rtlCol="0">
                          <a:spAutoFit/>
                        </wps:bodyPr>
                      </wps:wsp>
                      <wps:wsp>
                        <wps:cNvPr id="55" name="TextBox 12"/>
                        <wps:cNvSpPr txBox="1"/>
                        <wps:spPr>
                          <a:xfrm>
                            <a:off x="639042" y="0"/>
                            <a:ext cx="438390" cy="369332"/>
                          </a:xfrm>
                          <a:prstGeom prst="rect">
                            <a:avLst/>
                          </a:prstGeom>
                          <a:noFill/>
                        </wps:spPr>
                        <wps:txbx>
                          <w:txbxContent>
                            <w:p w:rsidR="008506CF" w:rsidRDefault="008506CF" w:rsidP="000670EB">
                              <w:pPr>
                                <w:pStyle w:val="NormalWeb"/>
                                <w:spacing w:before="0" w:beforeAutospacing="0" w:after="0" w:afterAutospacing="0"/>
                              </w:pPr>
                              <w:r>
                                <w:rPr>
                                  <w:rFonts w:asciiTheme="minorHAnsi" w:hAnsi="Calibri" w:cstheme="minorBidi"/>
                                  <w:color w:val="000000" w:themeColor="text1"/>
                                  <w:kern w:val="24"/>
                                  <w:sz w:val="36"/>
                                  <w:szCs w:val="36"/>
                                  <w:lang w:val="en-US"/>
                                </w:rPr>
                                <w:t>Y</w:t>
                              </w:r>
                              <w:proofErr w:type="gramStart"/>
                              <w:r>
                                <w:rPr>
                                  <w:rFonts w:asciiTheme="minorHAnsi" w:hAnsi="Calibri" w:cstheme="minorBidi"/>
                                  <w:color w:val="000000" w:themeColor="text1"/>
                                  <w:kern w:val="24"/>
                                  <w:sz w:val="36"/>
                                  <w:szCs w:val="36"/>
                                  <w:lang w:val="en-US"/>
                                </w:rPr>
                                <w:t>,E</w:t>
                              </w:r>
                              <w:proofErr w:type="gramEnd"/>
                            </w:p>
                          </w:txbxContent>
                        </wps:txbx>
                        <wps:bodyPr wrap="none" rtlCol="0">
                          <a:spAutoFit/>
                        </wps:bodyPr>
                      </wps:wsp>
                      <wps:wsp>
                        <wps:cNvPr id="56" name="TextBox 13"/>
                        <wps:cNvSpPr txBox="1"/>
                        <wps:spPr>
                          <a:xfrm>
                            <a:off x="3681634" y="1287292"/>
                            <a:ext cx="893445" cy="370205"/>
                          </a:xfrm>
                          <a:prstGeom prst="rect">
                            <a:avLst/>
                          </a:prstGeom>
                          <a:noFill/>
                        </wps:spPr>
                        <wps:txbx>
                          <w:txbxContent>
                            <w:p w:rsidR="008506CF" w:rsidRDefault="008506CF" w:rsidP="000670EB">
                              <w:pPr>
                                <w:pStyle w:val="NormalWeb"/>
                                <w:spacing w:before="0" w:beforeAutospacing="0" w:after="0" w:afterAutospacing="0"/>
                              </w:pPr>
                              <w:proofErr w:type="gramStart"/>
                              <w:r>
                                <w:rPr>
                                  <w:rFonts w:asciiTheme="minorHAnsi" w:hAnsi="Calibri" w:cstheme="minorBidi"/>
                                  <w:color w:val="000000" w:themeColor="text1"/>
                                  <w:kern w:val="24"/>
                                  <w:sz w:val="36"/>
                                  <w:szCs w:val="36"/>
                                  <w:lang w:val="en-US"/>
                                </w:rPr>
                                <w:t>Y(</w:t>
                              </w:r>
                              <w:proofErr w:type="gramEnd"/>
                              <w:r>
                                <w:rPr>
                                  <w:rFonts w:asciiTheme="minorHAnsi" w:hAnsi="Calibri" w:cstheme="minorBidi"/>
                                  <w:color w:val="000000" w:themeColor="text1"/>
                                  <w:kern w:val="24"/>
                                  <w:sz w:val="36"/>
                                  <w:szCs w:val="36"/>
                                  <w:lang w:val="en-US"/>
                                </w:rPr>
                                <w:t>t),E(t)</w:t>
                              </w:r>
                            </w:p>
                          </w:txbxContent>
                        </wps:txbx>
                        <wps:bodyPr wrap="none" rtlCol="0">
                          <a:spAutoFit/>
                        </wps:bodyPr>
                      </wps:wsp>
                      <wps:wsp>
                        <wps:cNvPr id="57" name="Rectangle 57"/>
                        <wps:cNvSpPr/>
                        <wps:spPr>
                          <a:xfrm>
                            <a:off x="3013491" y="1627803"/>
                            <a:ext cx="1830705" cy="291465"/>
                          </a:xfrm>
                          <a:prstGeom prst="rect">
                            <a:avLst/>
                          </a:prstGeom>
                        </wps:spPr>
                        <wps:txbx>
                          <w:txbxContent>
                            <w:p w:rsidR="008506CF" w:rsidRDefault="008506CF" w:rsidP="000670EB">
                              <w:pPr>
                                <w:pStyle w:val="NormalWeb"/>
                                <w:spacing w:before="0" w:beforeAutospacing="0" w:after="0" w:afterAutospacing="0"/>
                                <w:jc w:val="center"/>
                              </w:pPr>
                              <w:r>
                                <w:rPr>
                                  <w:rFonts w:ascii="Symbol" w:hAnsi="Symbol" w:cstheme="minorBidi"/>
                                  <w:color w:val="000000" w:themeColor="text1"/>
                                  <w:kern w:val="24"/>
                                  <w:sz w:val="36"/>
                                  <w:szCs w:val="36"/>
                                  <w:lang w:val="en-US"/>
                                </w:rPr>
                                <w:t></w:t>
                              </w:r>
                              <w:r>
                                <w:rPr>
                                  <w:rFonts w:ascii="Symbol" w:hAnsi="Symbol" w:cstheme="minorBidi"/>
                                  <w:color w:val="000000" w:themeColor="text1"/>
                                  <w:kern w:val="24"/>
                                  <w:sz w:val="36"/>
                                  <w:szCs w:val="36"/>
                                  <w:lang w:val="en-US"/>
                                </w:rPr>
                                <w:t></w:t>
                              </w:r>
                              <w:proofErr w:type="gramStart"/>
                              <w:r>
                                <w:rPr>
                                  <w:rFonts w:asciiTheme="minorHAnsi" w:hAnsi="Calibri" w:cstheme="minorBidi"/>
                                  <w:color w:val="000000" w:themeColor="text1"/>
                                  <w:kern w:val="24"/>
                                  <w:sz w:val="36"/>
                                  <w:szCs w:val="36"/>
                                  <w:lang w:val="en-US"/>
                                </w:rPr>
                                <w:t>D(</w:t>
                              </w:r>
                              <w:proofErr w:type="gramEnd"/>
                              <w:r>
                                <w:rPr>
                                  <w:rFonts w:asciiTheme="minorHAnsi" w:hAnsi="Calibri" w:cstheme="minorBidi"/>
                                  <w:color w:val="000000" w:themeColor="text1"/>
                                  <w:kern w:val="24"/>
                                  <w:sz w:val="36"/>
                                  <w:szCs w:val="36"/>
                                  <w:lang w:val="en-US"/>
                                </w:rPr>
                                <w:t>d)=100mn/day</w:t>
                              </w:r>
                            </w:p>
                          </w:txbxContent>
                        </wps:txbx>
                        <wps:bodyPr wrap="none" lIns="0" tIns="0" rIns="0" bIns="0" anchor="ctr" anchorCtr="0">
                          <a:spAutoFit/>
                        </wps:bodyPr>
                      </wps:wsp>
                      <wps:wsp>
                        <wps:cNvPr id="58" name="TextBox 15"/>
                        <wps:cNvSpPr txBox="1"/>
                        <wps:spPr>
                          <a:xfrm>
                            <a:off x="918144" y="2895600"/>
                            <a:ext cx="301686" cy="369332"/>
                          </a:xfrm>
                          <a:prstGeom prst="rect">
                            <a:avLst/>
                          </a:prstGeom>
                          <a:noFill/>
                        </wps:spPr>
                        <wps:txbx>
                          <w:txbxContent>
                            <w:p w:rsidR="008506CF" w:rsidRDefault="008506CF" w:rsidP="000670EB">
                              <w:pPr>
                                <w:pStyle w:val="NormalWeb"/>
                                <w:spacing w:before="0" w:beforeAutospacing="0" w:after="0" w:afterAutospacing="0"/>
                              </w:pPr>
                              <w:r>
                                <w:rPr>
                                  <w:rFonts w:asciiTheme="minorHAnsi" w:hAnsi="Calibri" w:cstheme="minorBidi"/>
                                  <w:color w:val="000000" w:themeColor="text1"/>
                                  <w:kern w:val="24"/>
                                  <w:sz w:val="36"/>
                                  <w:szCs w:val="36"/>
                                </w:rPr>
                                <w:t>0</w:t>
                              </w:r>
                            </w:p>
                          </w:txbxContent>
                        </wps:txbx>
                        <wps:bodyPr wrap="none" rtlCol="0">
                          <a:spAutoFit/>
                        </wps:bodyPr>
                      </wps:wsp>
                      <wps:wsp>
                        <wps:cNvPr id="59" name="TextBox 16"/>
                        <wps:cNvSpPr txBox="1"/>
                        <wps:spPr>
                          <a:xfrm>
                            <a:off x="4118544" y="2891366"/>
                            <a:ext cx="418704" cy="369332"/>
                          </a:xfrm>
                          <a:prstGeom prst="rect">
                            <a:avLst/>
                          </a:prstGeom>
                          <a:noFill/>
                        </wps:spPr>
                        <wps:txbx>
                          <w:txbxContent>
                            <w:p w:rsidR="008506CF" w:rsidRDefault="008506CF" w:rsidP="000670EB">
                              <w:pPr>
                                <w:pStyle w:val="NormalWeb"/>
                                <w:spacing w:before="0" w:beforeAutospacing="0" w:after="0" w:afterAutospacing="0"/>
                              </w:pPr>
                              <w:r>
                                <w:rPr>
                                  <w:rFonts w:asciiTheme="minorHAnsi" w:hAnsi="Calibri" w:cstheme="minorBidi"/>
                                  <w:color w:val="000000" w:themeColor="text1"/>
                                  <w:kern w:val="24"/>
                                  <w:sz w:val="36"/>
                                  <w:szCs w:val="36"/>
                                </w:rPr>
                                <w:t>24</w:t>
                              </w:r>
                            </w:p>
                          </w:txbxContent>
                        </wps:txbx>
                        <wps:bodyPr wrap="none" rtlCol="0">
                          <a:spAutoFit/>
                        </wps:bodyPr>
                      </wps:wsp>
                      <wps:wsp>
                        <wps:cNvPr id="60" name="TextBox 17"/>
                        <wps:cNvSpPr txBox="1"/>
                        <wps:spPr>
                          <a:xfrm>
                            <a:off x="2230701" y="2850857"/>
                            <a:ext cx="488950" cy="370205"/>
                          </a:xfrm>
                          <a:prstGeom prst="rect">
                            <a:avLst/>
                          </a:prstGeom>
                          <a:noFill/>
                        </wps:spPr>
                        <wps:txbx>
                          <w:txbxContent>
                            <w:p w:rsidR="008506CF" w:rsidRDefault="008506CF" w:rsidP="000670EB">
                              <w:pPr>
                                <w:pStyle w:val="NormalWeb"/>
                                <w:spacing w:before="0" w:beforeAutospacing="0" w:after="0" w:afterAutospacing="0"/>
                              </w:pPr>
                              <w:proofErr w:type="gramStart"/>
                              <w:r>
                                <w:rPr>
                                  <w:rFonts w:asciiTheme="minorHAnsi" w:hAnsi="Calibri" w:cstheme="minorBidi"/>
                                  <w:color w:val="000000" w:themeColor="text1"/>
                                  <w:kern w:val="24"/>
                                  <w:sz w:val="36"/>
                                  <w:szCs w:val="36"/>
                                  <w:lang w:val="en-US"/>
                                </w:rPr>
                                <w:t>d-3</w:t>
                              </w:r>
                              <w:proofErr w:type="gramEnd"/>
                            </w:p>
                          </w:txbxContent>
                        </wps:txbx>
                        <wps:bodyPr wrap="none" rtlCol="0">
                          <a:spAutoFit/>
                        </wps:bodyPr>
                      </wps:wsp>
                      <wps:wsp>
                        <wps:cNvPr id="61" name="TextBox 18"/>
                        <wps:cNvSpPr txBox="1"/>
                        <wps:spPr>
                          <a:xfrm>
                            <a:off x="3200639" y="2850857"/>
                            <a:ext cx="532765" cy="370205"/>
                          </a:xfrm>
                          <a:prstGeom prst="rect">
                            <a:avLst/>
                          </a:prstGeom>
                          <a:noFill/>
                        </wps:spPr>
                        <wps:txbx>
                          <w:txbxContent>
                            <w:p w:rsidR="008506CF" w:rsidRDefault="008506CF" w:rsidP="000670EB">
                              <w:pPr>
                                <w:pStyle w:val="NormalWeb"/>
                                <w:spacing w:before="0" w:beforeAutospacing="0" w:after="0" w:afterAutospacing="0"/>
                              </w:pPr>
                              <w:proofErr w:type="gramStart"/>
                              <w:r>
                                <w:rPr>
                                  <w:rFonts w:asciiTheme="minorHAnsi" w:hAnsi="Calibri" w:cstheme="minorBidi"/>
                                  <w:color w:val="000000" w:themeColor="text1"/>
                                  <w:kern w:val="24"/>
                                  <w:sz w:val="36"/>
                                  <w:szCs w:val="36"/>
                                  <w:lang w:val="en-US"/>
                                </w:rPr>
                                <w:t>d+</w:t>
                              </w:r>
                              <w:proofErr w:type="gramEnd"/>
                              <w:r>
                                <w:rPr>
                                  <w:rFonts w:asciiTheme="minorHAnsi" w:hAnsi="Calibri" w:cstheme="minorBidi"/>
                                  <w:color w:val="000000" w:themeColor="text1"/>
                                  <w:kern w:val="24"/>
                                  <w:sz w:val="36"/>
                                  <w:szCs w:val="36"/>
                                  <w:lang w:val="en-US"/>
                                </w:rPr>
                                <w:t>3</w:t>
                              </w:r>
                            </w:p>
                          </w:txbxContent>
                        </wps:txbx>
                        <wps:bodyPr wrap="none" rtlCol="0">
                          <a:spAutoFit/>
                        </wps:bodyPr>
                      </wps:wsp>
                      <wps:wsp>
                        <wps:cNvPr id="62" name="TextBox 20"/>
                        <wps:cNvSpPr txBox="1"/>
                        <wps:spPr>
                          <a:xfrm>
                            <a:off x="4688184" y="2698804"/>
                            <a:ext cx="261610" cy="369332"/>
                          </a:xfrm>
                          <a:prstGeom prst="rect">
                            <a:avLst/>
                          </a:prstGeom>
                          <a:noFill/>
                        </wps:spPr>
                        <wps:txbx>
                          <w:txbxContent>
                            <w:p w:rsidR="008506CF" w:rsidRDefault="008506CF" w:rsidP="000670EB">
                              <w:pPr>
                                <w:pStyle w:val="NormalWeb"/>
                                <w:spacing w:before="0" w:beforeAutospacing="0" w:after="0" w:afterAutospacing="0"/>
                              </w:pPr>
                              <w:proofErr w:type="gramStart"/>
                              <w:r>
                                <w:rPr>
                                  <w:rFonts w:asciiTheme="minorHAnsi" w:hAnsi="Calibri" w:cstheme="minorBidi"/>
                                  <w:color w:val="000000" w:themeColor="text1"/>
                                  <w:kern w:val="24"/>
                                  <w:sz w:val="36"/>
                                  <w:szCs w:val="36"/>
                                  <w:lang w:val="en-US"/>
                                </w:rPr>
                                <w:t>t</w:t>
                              </w:r>
                              <w:proofErr w:type="gramEnd"/>
                            </w:p>
                          </w:txbxContent>
                        </wps:txbx>
                        <wps:bodyPr wrap="none" rtlCol="0">
                          <a:spAutoFit/>
                        </wps:bodyPr>
                      </wps:wsp>
                    </wpg:wgp>
                  </a:graphicData>
                </a:graphic>
              </wp:anchor>
            </w:drawing>
          </mc:Choice>
          <mc:Fallback>
            <w:pict>
              <v:group w14:anchorId="5CF2EAAD" id="Group 37" o:spid="_x0000_s1026" style="position:absolute;margin-left:7.35pt;margin-top:0;width:389.7pt;height:257.05pt;z-index:251659264" coordsize="49497,32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">
                <v:group id="Group 46" o:spid="_x0000_s1027" style="position:absolute;left:10527;top:921;width:36284;height:28194" coordorigin="10527,921" coordsize="36284,281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type id="_x0000_t32" coordsize="21600,21600" o:spt="32" o:oned="t" path="m,l21600,21600e" filled="f">
                    <v:path arrowok="t" fillok="f" o:connecttype="none"/>
                    <o:lock v:ext="edit" shapetype="t"/>
                  </v:shapetype>
                  <v:shape id="Straight Arrow Connector 47" o:spid="_x0000_s1028" type="#_x0000_t32" style="position:absolute;left:10668;top:921;width:0;height:281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qY8UAAADbAAAADwAAAGRycy9kb3ducmV2LnhtbESPQWsCMRSE7wX/Q3iCt5pVpJWtUYqg&#10;LHixW0G8PTbPzbablyWJ67a/vikUehxm5htmtRlsK3ryoXGsYDbNQBBXTjdcKzi97x6XIEJE1tg6&#10;JgVfFGCzHj2sMNfuzm/Ul7EWCcIhRwUmxi6XMlSGLIap64iTd3XeYkzS11J7vCe4beU8y56kxYbT&#10;gsGOtoaqz/JmFRz67OP7cir38Tjzx3Phr8XS9EpNxsPrC4hIQ/wP/7ULrWDxDL9f0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qY8UAAADbAAAADwAAAAAAAAAA&#10;AAAAAAChAgAAZHJzL2Rvd25yZXYueG1sUEsFBgAAAAAEAAQA+QAAAJMDAAAAAA==&#10;" strokecolor="black [3213]" strokeweight="3pt">
                    <v:stroke endarrow="open"/>
                  </v:shape>
                  <v:shape id="Straight Arrow Connector 48" o:spid="_x0000_s1029" type="#_x0000_t32" style="position:absolute;left:10527;top:28993;width:36284;height:8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R+EcEAAADbAAAADwAAAGRycy9kb3ducmV2LnhtbERPz2vCMBS+D/wfwhO8zdQhItUoIjgK&#10;u7gqjN0ezbOpNi8lyWq3v345CB4/vt/r7WBb0ZMPjWMFs2kGgrhyuuFawfl0eF2CCBFZY+uYFPxS&#10;gO1m9LLGXLs7f1JfxlqkEA45KjAxdrmUoTJkMUxdR5y4i/MWY4K+ltrjPYXbVr5l2UJabDg1GOxo&#10;b6i6lT9WwUefXf++z+V7PM788avwl2JpeqUm42G3AhFpiE/xw11oBfM0Nn1JP0B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ZH4RwQAAANsAAAAPAAAAAAAAAAAAAAAA&#10;AKECAABkcnMvZG93bnJldi54bWxQSwUGAAAAAAQABAD5AAAAjwMAAAAA&#10;" strokecolor="black [3213]" strokeweight="3pt">
                    <v:stroke endarrow="open"/>
                  </v:shape>
                </v:group>
                <v:line id="Straight Connector 49" o:spid="_x0000_s1030" style="position:absolute;visibility:visible;mso-wrap-style:square" from="10558,19812" to="29528,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X1HMUAAADbAAAADwAAAGRycy9kb3ducmV2LnhtbESPQWvCQBSE74X+h+UVetNNSxET3YQi&#10;VDwpRks9vmZfs6HZtyG71eivdwWhx2FmvmHmxWBbcaTeN44VvIwTEMSV0w3XCva7j9EUhA/IGlvH&#10;pOBMHor88WGOmXYn3tKxDLWIEPYZKjAhdJmUvjJk0Y9dRxy9H9dbDFH2tdQ9niLctvI1SSbSYsNx&#10;wWBHC0PVb/lnFVSlbMp0/TVdL7+XG7O4uNXn5qDU89PwPgMRaAj/4Xt7pRW8pXD7En+AzK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BX1HMUAAADbAAAADwAAAAAAAAAA&#10;AAAAAAChAgAAZHJzL2Rvd25yZXYueG1sUEsFBgAAAAAEAAQA+QAAAJMDAAAAAA==&#10;" strokecolor="#4579b8 [3044]" strokeweight="1pt"/>
                <v:line id="Straight Connector 50" o:spid="_x0000_s1031" style="position:absolute;visibility:visible;mso-wrap-style:square" from="29562,16002" to="44802,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bKXMAAAADbAAAADwAAAGRycy9kb3ducmV2LnhtbERPTYvCMBC9L/gfwgje1lRhF61GEUHx&#10;pFgVPY7N2BSbSWmyWvfXm8PCHh/vezpvbSUe1PjSsYJBPwFBnDtdcqHgeFh9jkD4gKyxckwKXuRh&#10;Put8TDHV7sl7emShEDGEfYoKTAh1KqXPDVn0fVcTR+7mGoshwqaQusFnDLeVHCbJt7RYcmwwWNPS&#10;UH7PfqyCPJNlNt6eR9v1db0zy1+3Oe0uSvW67WICIlAb/sV/7o1W8BXXxy/xB8jZ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D2ylzAAAAA2wAAAA8AAAAAAAAAAAAAAAAA&#10;oQIAAGRycy9kb3ducmV2LnhtbFBLBQYAAAAABAAEAPkAAACOAwAAAAA=&#10;" strokecolor="#4579b8 [3044]" strokeweight="1pt"/>
                <v:line id="Straight Connector 51" o:spid="_x0000_s1032" style="position:absolute;flip:y;visibility:visible;mso-wrap-style:square" from="29562,16002" to="29562,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3uIcMAAADbAAAADwAAAGRycy9kb3ducmV2LnhtbESPQWvCQBSE7wX/w/IEb3WTgrWkriIW&#10;xUNVTAteH9lnNph9G7Krxn/vCoLHYWa+YSazztbiQq2vHCtIhwkI4sLpiksF/3/L9y8QPiBrrB2T&#10;ght5mE17bxPMtLvyni55KEWEsM9QgQmhyaT0hSGLfuga4ugdXWsxRNmWUrd4jXBby48k+ZQWK44L&#10;BhtaGCpO+dkqyBNr5O+mPHQ/+2a9qtPd+LDdKTXod/NvEIG68Ao/22utYJTC40v8AXJ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97iHDAAAA2wAAAA8AAAAAAAAAAAAA&#10;AAAAoQIAAGRycy9kb3ducmV2LnhtbFBLBQYAAAAABAAEAPkAAACRAwAAAAA=&#10;" strokecolor="#4579b8 [3044]">
                  <v:stroke dashstyle="dash"/>
                </v:line>
                <v:shapetype id="_x0000_t202" coordsize="21600,21600" o:spt="202" path="m,l,21600r21600,l21600,xe">
                  <v:stroke joinstyle="miter"/>
                  <v:path gradientshapeok="t" o:connecttype="rect"/>
                </v:shapetype>
                <v:shape id="TextBox 9" o:spid="_x0000_s1033" type="#_x0000_t202" style="position:absolute;left:1741;top:17789;width:9467;height:370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R498QA&#10;AADbAAAADwAAAGRycy9kb3ducmV2LnhtbESP0WrCQBRE3wv9h+UW+lY3CbVodCPFWvDNNvoBl+w1&#10;G5O9G7Krpn69Wyj0cZiZM8xyNdpOXGjwjWMF6SQBQVw53XCt4LD/fJmB8AFZY+eYFPyQh1Xx+LDE&#10;XLsrf9OlDLWIEPY5KjAh9LmUvjJk0U9cTxy9oxsshiiHWuoBrxFuO5klyZu02HBcMNjT2lDVlmer&#10;YJbYXdvOsy9vX2/p1Kw/3KY/KfX8NL4vQAQaw3/4r73VCqYZ/H6JP0A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0ePfEAAAA2wAAAA8AAAAAAAAAAAAAAAAAmAIAAGRycy9k&#10;b3ducmV2LnhtbFBLBQYAAAAABAAEAPUAAACJAwAAAAA=&#10;" filled="f" stroked="f">
                  <v:textbox style="mso-fit-shape-to-text:t">
                    <w:txbxContent>
                      <w:p w:rsidR="008506CF" w:rsidRDefault="008506CF" w:rsidP="000670EB">
                        <w:pPr>
                          <w:pStyle w:val="NormalWeb"/>
                          <w:spacing w:before="0" w:beforeAutospacing="0" w:after="0" w:afterAutospacing="0"/>
                        </w:pPr>
                        <w:r>
                          <w:rPr>
                            <w:rFonts w:asciiTheme="minorHAnsi" w:hAnsi="Calibri" w:cstheme="minorBidi"/>
                            <w:color w:val="000000" w:themeColor="text1"/>
                            <w:kern w:val="24"/>
                            <w:sz w:val="36"/>
                            <w:szCs w:val="36"/>
                            <w:lang w:val="en-US"/>
                          </w:rPr>
                          <w:t xml:space="preserve">1bn </w:t>
                        </w:r>
                        <w:proofErr w:type="spellStart"/>
                        <w:r>
                          <w:rPr>
                            <w:rFonts w:asciiTheme="minorHAnsi" w:hAnsi="Calibri" w:cstheme="minorBidi"/>
                            <w:color w:val="000000" w:themeColor="text1"/>
                            <w:kern w:val="24"/>
                            <w:sz w:val="36"/>
                            <w:szCs w:val="36"/>
                            <w:lang w:val="en-US"/>
                          </w:rPr>
                          <w:t>p.d</w:t>
                        </w:r>
                        <w:proofErr w:type="spellEnd"/>
                        <w:r>
                          <w:rPr>
                            <w:rFonts w:asciiTheme="minorHAnsi" w:hAnsi="Calibri" w:cstheme="minorBidi"/>
                            <w:color w:val="000000" w:themeColor="text1"/>
                            <w:kern w:val="24"/>
                            <w:sz w:val="36"/>
                            <w:szCs w:val="36"/>
                            <w:lang w:val="en-US"/>
                          </w:rPr>
                          <w:t>.</w:t>
                        </w:r>
                      </w:p>
                    </w:txbxContent>
                  </v:textbox>
                </v:shape>
                <v:shape id="TextBox 10" o:spid="_x0000_s1034" type="#_x0000_t202" style="position:absolute;top:13873;width:11201;height:370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dbMQA&#10;AADbAAAADwAAAGRycy9kb3ducmV2LnhtbESPwW7CMBBE70j8g7VIvRUnUCpIYxCCIvUGpf2AVbzE&#10;aeJ1FBsI/foaqRLH0cy80eSr3jbiQp2vHCtIxwkI4sLpiksF31+75zkIH5A1No5JwY08rJbDQY6Z&#10;dlf+pMsxlCJC2GeowITQZlL6wpBFP3YtcfROrrMYouxKqTu8Rrht5CRJXqXFiuOCwZY2hor6eLYK&#10;5ond1/VicvD25Tedmc3Wvbc/Sj2N+vUbiEB9eIT/2x9awWwK9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43WzEAAAA2wAAAA8AAAAAAAAAAAAAAAAAmAIAAGRycy9k&#10;b3ducmV2LnhtbFBLBQYAAAAABAAEAPUAAACJAwAAAAA=&#10;" filled="f" stroked="f">
                  <v:textbox style="mso-fit-shape-to-text:t">
                    <w:txbxContent>
                      <w:p w:rsidR="008506CF" w:rsidRDefault="008506CF" w:rsidP="000670EB">
                        <w:pPr>
                          <w:pStyle w:val="NormalWeb"/>
                          <w:spacing w:before="0" w:beforeAutospacing="0" w:after="0" w:afterAutospacing="0"/>
                        </w:pPr>
                        <w:r>
                          <w:rPr>
                            <w:rFonts w:asciiTheme="minorHAnsi" w:hAnsi="Calibri" w:cstheme="minorBidi"/>
                            <w:color w:val="000000" w:themeColor="text1"/>
                            <w:kern w:val="24"/>
                            <w:sz w:val="36"/>
                            <w:szCs w:val="36"/>
                            <w:lang w:val="en-US"/>
                          </w:rPr>
                          <w:t xml:space="preserve">1.1bn </w:t>
                        </w:r>
                        <w:proofErr w:type="spellStart"/>
                        <w:r>
                          <w:rPr>
                            <w:rFonts w:asciiTheme="minorHAnsi" w:hAnsi="Calibri" w:cstheme="minorBidi"/>
                            <w:color w:val="000000" w:themeColor="text1"/>
                            <w:kern w:val="24"/>
                            <w:sz w:val="36"/>
                            <w:szCs w:val="36"/>
                            <w:lang w:val="en-US"/>
                          </w:rPr>
                          <w:t>p.d</w:t>
                        </w:r>
                        <w:proofErr w:type="spellEnd"/>
                        <w:r>
                          <w:rPr>
                            <w:rFonts w:asciiTheme="minorHAnsi" w:hAnsi="Calibri" w:cstheme="minorBidi"/>
                            <w:color w:val="000000" w:themeColor="text1"/>
                            <w:kern w:val="24"/>
                            <w:sz w:val="36"/>
                            <w:szCs w:val="36"/>
                            <w:lang w:val="en-US"/>
                          </w:rPr>
                          <w:t>.</w:t>
                        </w:r>
                      </w:p>
                    </w:txbxContent>
                  </v:textbox>
                </v:shape>
                <v:shape id="TextBox 11" o:spid="_x0000_s1035" type="#_x0000_t202" style="position:absolute;left:28590;top:28512;width:3065;height:36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FFGMIA&#10;AADbAAAADwAAAGRycy9kb3ducmV2LnhtbESP0YrCMBRE34X9h3CFfdNUUdFqlEVX8G1d1w+4NNem&#10;trkpTdTq128EwcdhZs4wi1VrK3GlxheOFQz6CQjizOmCcwXHv21vCsIHZI2VY1JwJw+r5Udngal2&#10;N/6l6yHkIkLYp6jAhFCnUvrMkEXfdzVx9E6usRiibHKpG7xFuK3kMEkm0mLBccFgTWtDWXm4WAXT&#10;xP6U5Wy493b0GIzNeuO+67NSn932aw4iUBve4Vd7pxWMR/D8En+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EUUYwgAAANsAAAAPAAAAAAAAAAAAAAAAAJgCAABkcnMvZG93&#10;bnJldi54bWxQSwUGAAAAAAQABAD1AAAAhwMAAAAA&#10;" filled="f" stroked="f">
                  <v:textbox style="mso-fit-shape-to-text:t">
                    <w:txbxContent>
                      <w:p w:rsidR="008506CF" w:rsidRDefault="008506CF" w:rsidP="000670EB">
                        <w:pPr>
                          <w:pStyle w:val="NormalWeb"/>
                          <w:spacing w:before="0" w:beforeAutospacing="0" w:after="0" w:afterAutospacing="0"/>
                        </w:pPr>
                        <w:proofErr w:type="gramStart"/>
                        <w:r>
                          <w:rPr>
                            <w:rFonts w:asciiTheme="minorHAnsi" w:hAnsi="Calibri" w:cstheme="minorBidi"/>
                            <w:color w:val="000000" w:themeColor="text1"/>
                            <w:kern w:val="24"/>
                            <w:sz w:val="36"/>
                            <w:szCs w:val="36"/>
                            <w:lang w:val="en-US"/>
                          </w:rPr>
                          <w:t>d</w:t>
                        </w:r>
                        <w:proofErr w:type="gramEnd"/>
                      </w:p>
                    </w:txbxContent>
                  </v:textbox>
                </v:shape>
                <v:shape id="TextBox 12" o:spid="_x0000_s1036" type="#_x0000_t202" style="position:absolute;left:6390;width:4384;height:36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3gg8QA&#10;AADbAAAADwAAAGRycy9kb3ducmV2LnhtbESP0WrCQBRE3wv9h+UW+lY3kaZodCPFWuibNfoBl+w1&#10;G5O9G7Krpv16t1DwcZiZM8xyNdpOXGjwjWMF6SQBQVw53XCt4LD/fJmB8AFZY+eYFPyQh1Xx+LDE&#10;XLsr7+hShlpECPscFZgQ+lxKXxmy6CeuJ47e0Q0WQ5RDLfWA1wi3nZwmyZu02HBcMNjT2lDVlmer&#10;YJbYbdvOp9/evv6mmVl/uE1/Uur5aXxfgAg0hnv4v/2lFWQZ/H2JP0AW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d4IPEAAAA2wAAAA8AAAAAAAAAAAAAAAAAmAIAAGRycy9k&#10;b3ducmV2LnhtbFBLBQYAAAAABAAEAPUAAACJAwAAAAA=&#10;" filled="f" stroked="f">
                  <v:textbox style="mso-fit-shape-to-text:t">
                    <w:txbxContent>
                      <w:p w:rsidR="008506CF" w:rsidRDefault="008506CF" w:rsidP="000670EB">
                        <w:pPr>
                          <w:pStyle w:val="NormalWeb"/>
                          <w:spacing w:before="0" w:beforeAutospacing="0" w:after="0" w:afterAutospacing="0"/>
                        </w:pPr>
                        <w:r>
                          <w:rPr>
                            <w:rFonts w:asciiTheme="minorHAnsi" w:hAnsi="Calibri" w:cstheme="minorBidi"/>
                            <w:color w:val="000000" w:themeColor="text1"/>
                            <w:kern w:val="24"/>
                            <w:sz w:val="36"/>
                            <w:szCs w:val="36"/>
                            <w:lang w:val="en-US"/>
                          </w:rPr>
                          <w:t>Y</w:t>
                        </w:r>
                        <w:proofErr w:type="gramStart"/>
                        <w:r>
                          <w:rPr>
                            <w:rFonts w:asciiTheme="minorHAnsi" w:hAnsi="Calibri" w:cstheme="minorBidi"/>
                            <w:color w:val="000000" w:themeColor="text1"/>
                            <w:kern w:val="24"/>
                            <w:sz w:val="36"/>
                            <w:szCs w:val="36"/>
                            <w:lang w:val="en-US"/>
                          </w:rPr>
                          <w:t>,E</w:t>
                        </w:r>
                        <w:proofErr w:type="gramEnd"/>
                      </w:p>
                    </w:txbxContent>
                  </v:textbox>
                </v:shape>
                <v:shape id="TextBox 13" o:spid="_x0000_s1037" type="#_x0000_t202" style="position:absolute;left:36816;top:12872;width:8934;height:370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9+9MQA&#10;AADbAAAADwAAAGRycy9kb3ducmV2LnhtbESP0WrCQBRE3wv9h+UW+lY3hio2ZiMlttA3re0HXLLX&#10;bJrs3ZBdNfr1XUHwcZiZM0y+Gm0njjT4xrGC6SQBQVw53XCt4Pfn82UBwgdkjZ1jUnAmD6vi8SHH&#10;TLsTf9NxF2oRIewzVGBC6DMpfWXIop+4njh6ezdYDFEOtdQDniLcdjJNkrm02HBcMNhTaahqdwer&#10;YJHYTdu+pVtvXy/TmSnX7qP/U+r5aXxfggg0hnv41v7SCmZzuH6JP0AW/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PfvTEAAAA2wAAAA8AAAAAAAAAAAAAAAAAmAIAAGRycy9k&#10;b3ducmV2LnhtbFBLBQYAAAAABAAEAPUAAACJAwAAAAA=&#10;" filled="f" stroked="f">
                  <v:textbox style="mso-fit-shape-to-text:t">
                    <w:txbxContent>
                      <w:p w:rsidR="008506CF" w:rsidRDefault="008506CF" w:rsidP="000670EB">
                        <w:pPr>
                          <w:pStyle w:val="NormalWeb"/>
                          <w:spacing w:before="0" w:beforeAutospacing="0" w:after="0" w:afterAutospacing="0"/>
                        </w:pPr>
                        <w:proofErr w:type="gramStart"/>
                        <w:r>
                          <w:rPr>
                            <w:rFonts w:asciiTheme="minorHAnsi" w:hAnsi="Calibri" w:cstheme="minorBidi"/>
                            <w:color w:val="000000" w:themeColor="text1"/>
                            <w:kern w:val="24"/>
                            <w:sz w:val="36"/>
                            <w:szCs w:val="36"/>
                            <w:lang w:val="en-US"/>
                          </w:rPr>
                          <w:t>Y(</w:t>
                        </w:r>
                        <w:proofErr w:type="gramEnd"/>
                        <w:r>
                          <w:rPr>
                            <w:rFonts w:asciiTheme="minorHAnsi" w:hAnsi="Calibri" w:cstheme="minorBidi"/>
                            <w:color w:val="000000" w:themeColor="text1"/>
                            <w:kern w:val="24"/>
                            <w:sz w:val="36"/>
                            <w:szCs w:val="36"/>
                            <w:lang w:val="en-US"/>
                          </w:rPr>
                          <w:t>t),E(t)</w:t>
                        </w:r>
                      </w:p>
                    </w:txbxContent>
                  </v:textbox>
                </v:shape>
                <v:rect id="Rectangle 57" o:spid="_x0000_s1038" style="position:absolute;left:30134;top:16278;width:18307;height:291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tO0cUA&#10;AADbAAAADwAAAGRycy9kb3ducmV2LnhtbESPQWsCMRSE70L/Q3gFL1KzFWqX1ShSkArSQ7XQ6zN5&#10;3SxuXpZN1l399U2h4HGYmW+Y5XpwtbhQGyrPCp6nGQhi7U3FpYKv4/YpBxEissHaMym4UoD16mG0&#10;xML4nj/pcoilSBAOBSqwMTaFlEFbchimviFO3o9vHcYk21KaFvsEd7WcZdlcOqw4LVhs6M2SPh86&#10;p6C7nQx+bOwk7yf6XO/1d7eV70qNH4fNAkSkId7D/+2dUfDyCn9f0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m07RxQAAANsAAAAPAAAAAAAAAAAAAAAAAJgCAABkcnMv&#10;ZG93bnJldi54bWxQSwUGAAAAAAQABAD1AAAAigMAAAAA&#10;" filled="f" stroked="f">
                  <v:textbox style="mso-fit-shape-to-text:t" inset="0,0,0,0">
                    <w:txbxContent>
                      <w:p w:rsidR="008506CF" w:rsidRDefault="008506CF" w:rsidP="000670EB">
                        <w:pPr>
                          <w:pStyle w:val="NormalWeb"/>
                          <w:spacing w:before="0" w:beforeAutospacing="0" w:after="0" w:afterAutospacing="0"/>
                          <w:jc w:val="center"/>
                        </w:pPr>
                        <w:r>
                          <w:rPr>
                            <w:rFonts w:ascii="Symbol" w:hAnsi="Symbol" w:cstheme="minorBidi"/>
                            <w:color w:val="000000" w:themeColor="text1"/>
                            <w:kern w:val="24"/>
                            <w:sz w:val="36"/>
                            <w:szCs w:val="36"/>
                            <w:lang w:val="en-US"/>
                          </w:rPr>
                          <w:t></w:t>
                        </w:r>
                        <w:r>
                          <w:rPr>
                            <w:rFonts w:ascii="Symbol" w:hAnsi="Symbol" w:cstheme="minorBidi"/>
                            <w:color w:val="000000" w:themeColor="text1"/>
                            <w:kern w:val="24"/>
                            <w:sz w:val="36"/>
                            <w:szCs w:val="36"/>
                            <w:lang w:val="en-US"/>
                          </w:rPr>
                          <w:t></w:t>
                        </w:r>
                        <w:proofErr w:type="gramStart"/>
                        <w:r>
                          <w:rPr>
                            <w:rFonts w:asciiTheme="minorHAnsi" w:hAnsi="Calibri" w:cstheme="minorBidi"/>
                            <w:color w:val="000000" w:themeColor="text1"/>
                            <w:kern w:val="24"/>
                            <w:sz w:val="36"/>
                            <w:szCs w:val="36"/>
                            <w:lang w:val="en-US"/>
                          </w:rPr>
                          <w:t>D(</w:t>
                        </w:r>
                        <w:proofErr w:type="gramEnd"/>
                        <w:r>
                          <w:rPr>
                            <w:rFonts w:asciiTheme="minorHAnsi" w:hAnsi="Calibri" w:cstheme="minorBidi"/>
                            <w:color w:val="000000" w:themeColor="text1"/>
                            <w:kern w:val="24"/>
                            <w:sz w:val="36"/>
                            <w:szCs w:val="36"/>
                            <w:lang w:val="en-US"/>
                          </w:rPr>
                          <w:t>d)=100mn/day</w:t>
                        </w:r>
                      </w:p>
                    </w:txbxContent>
                  </v:textbox>
                </v:rect>
                <v:shape id="TextBox 15" o:spid="_x0000_s1039" type="#_x0000_t202" style="position:absolute;left:9181;top:28956;width:3017;height:36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xPHcEA&#10;AADbAAAADwAAAGRycy9kb3ducmV2LnhtbERP3WrCMBS+H/gO4QjeramiQ6tRhnOwu83qAxyaY1Pb&#10;nJQmtt2efrkY7PLj+98dRtuInjpfOVYwT1IQxIXTFZcKrpf35zUIH5A1No5JwTd5OOwnTzvMtBv4&#10;TH0eShFD2GeowITQZlL6wpBFn7iWOHI311kMEXal1B0OMdw2cpGmL9JixbHBYEtHQ0WdP6yCdWo/&#10;63qz+PJ2+TNfmeObO7V3pWbT8XULItAY/sV/7g+tYBXHxi/xB8j9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cTx3BAAAA2wAAAA8AAAAAAAAAAAAAAAAAmAIAAGRycy9kb3du&#10;cmV2LnhtbFBLBQYAAAAABAAEAPUAAACGAwAAAAA=&#10;" filled="f" stroked="f">
                  <v:textbox style="mso-fit-shape-to-text:t">
                    <w:txbxContent>
                      <w:p w:rsidR="008506CF" w:rsidRDefault="008506CF" w:rsidP="000670EB">
                        <w:pPr>
                          <w:pStyle w:val="NormalWeb"/>
                          <w:spacing w:before="0" w:beforeAutospacing="0" w:after="0" w:afterAutospacing="0"/>
                        </w:pPr>
                        <w:r>
                          <w:rPr>
                            <w:rFonts w:asciiTheme="minorHAnsi" w:hAnsi="Calibri" w:cstheme="minorBidi"/>
                            <w:color w:val="000000" w:themeColor="text1"/>
                            <w:kern w:val="24"/>
                            <w:sz w:val="36"/>
                            <w:szCs w:val="36"/>
                          </w:rPr>
                          <w:t>0</w:t>
                        </w:r>
                      </w:p>
                    </w:txbxContent>
                  </v:textbox>
                </v:shape>
                <v:shape id="TextBox 16" o:spid="_x0000_s1040" type="#_x0000_t202" style="position:absolute;left:41185;top:28913;width:4187;height:36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DqhsQA&#10;AADbAAAADwAAAGRycy9kb3ducmV2LnhtbESP0WrCQBRE3wv+w3IF3+rGYIqmrkG0hb61aj/gkr1m&#10;Y7J3Q3Zr0n59t1DwcZiZM8ymGG0rbtT72rGCxTwBQVw6XXOl4PP8+rgC4QOyxtYxKfgmD8V28rDB&#10;XLuBj3Q7hUpECPscFZgQulxKXxqy6OeuI47exfUWQ5R9JXWPQ4TbVqZJ8iQt1hwXDHa0N1Q2py+r&#10;YJXY96ZZpx/eLn8Wmdkf3Et3VWo2HXfPIAKN4R7+b79pBdka/r7EH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Q6obEAAAA2wAAAA8AAAAAAAAAAAAAAAAAmAIAAGRycy9k&#10;b3ducmV2LnhtbFBLBQYAAAAABAAEAPUAAACJAwAAAAA=&#10;" filled="f" stroked="f">
                  <v:textbox style="mso-fit-shape-to-text:t">
                    <w:txbxContent>
                      <w:p w:rsidR="008506CF" w:rsidRDefault="008506CF" w:rsidP="000670EB">
                        <w:pPr>
                          <w:pStyle w:val="NormalWeb"/>
                          <w:spacing w:before="0" w:beforeAutospacing="0" w:after="0" w:afterAutospacing="0"/>
                        </w:pPr>
                        <w:r>
                          <w:rPr>
                            <w:rFonts w:asciiTheme="minorHAnsi" w:hAnsi="Calibri" w:cstheme="minorBidi"/>
                            <w:color w:val="000000" w:themeColor="text1"/>
                            <w:kern w:val="24"/>
                            <w:sz w:val="36"/>
                            <w:szCs w:val="36"/>
                          </w:rPr>
                          <w:t>24</w:t>
                        </w:r>
                      </w:p>
                    </w:txbxContent>
                  </v:textbox>
                </v:shape>
                <v:shape id="TextBox 17" o:spid="_x0000_s1041" type="#_x0000_t202" style="position:absolute;left:22307;top:28508;width:4889;height:370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aJpsEA&#10;AADbAAAADwAAAGRycy9kb3ducmV2LnhtbERP3WrCMBS+F3yHcITd2VTZpOuMMtwG3k2rD3Bozpqu&#10;zUlpsrbz6ZeLgZcf3/92P9lWDNT72rGCVZKCIC6drrlScL18LDMQPiBrbB2Tgl/ysN/NZ1vMtRv5&#10;TEMRKhFD2OeowITQ5VL60pBFn7iOOHJfrrcYIuwrqXscY7ht5TpNN9JizbHBYEcHQ2VT/FgFWWo/&#10;m+Z5ffL28bZ6Moc39959K/WwmF5fQASawl387z5qBZu4Pn6JP0D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GiabBAAAA2wAAAA8AAAAAAAAAAAAAAAAAmAIAAGRycy9kb3du&#10;cmV2LnhtbFBLBQYAAAAABAAEAPUAAACGAwAAAAA=&#10;" filled="f" stroked="f">
                  <v:textbox style="mso-fit-shape-to-text:t">
                    <w:txbxContent>
                      <w:p w:rsidR="008506CF" w:rsidRDefault="008506CF" w:rsidP="000670EB">
                        <w:pPr>
                          <w:pStyle w:val="NormalWeb"/>
                          <w:spacing w:before="0" w:beforeAutospacing="0" w:after="0" w:afterAutospacing="0"/>
                        </w:pPr>
                        <w:proofErr w:type="gramStart"/>
                        <w:r>
                          <w:rPr>
                            <w:rFonts w:asciiTheme="minorHAnsi" w:hAnsi="Calibri" w:cstheme="minorBidi"/>
                            <w:color w:val="000000" w:themeColor="text1"/>
                            <w:kern w:val="24"/>
                            <w:sz w:val="36"/>
                            <w:szCs w:val="36"/>
                            <w:lang w:val="en-US"/>
                          </w:rPr>
                          <w:t>d-3</w:t>
                        </w:r>
                        <w:proofErr w:type="gramEnd"/>
                      </w:p>
                    </w:txbxContent>
                  </v:textbox>
                </v:shape>
                <v:shape id="TextBox 18" o:spid="_x0000_s1042" type="#_x0000_t202" style="position:absolute;left:32006;top:28508;width:5328;height:370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osPcMA&#10;AADbAAAADwAAAGRycy9kb3ducmV2LnhtbESP0WrCQBRE3wv9h+UW+lY3kSoaXaXYFnxTox9wyV6z&#10;Mdm7IbvV1K93BcHHYWbOMPNlbxtxps5XjhWkgwQEceF0xaWCw/73YwLCB2SNjWNS8E8elovXlzlm&#10;2l14R+c8lCJC2GeowITQZlL6wpBFP3AtcfSOrrMYouxKqTu8RLht5DBJxtJixXHBYEsrQ0Wd/1kF&#10;k8Ru6no63Hr7eU1HZvXtftqTUu9v/dcMRKA+PMOP9lorGKdw/xJ/gF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osPcMAAADbAAAADwAAAAAAAAAAAAAAAACYAgAAZHJzL2Rv&#10;d25yZXYueG1sUEsFBgAAAAAEAAQA9QAAAIgDAAAAAA==&#10;" filled="f" stroked="f">
                  <v:textbox style="mso-fit-shape-to-text:t">
                    <w:txbxContent>
                      <w:p w:rsidR="008506CF" w:rsidRDefault="008506CF" w:rsidP="000670EB">
                        <w:pPr>
                          <w:pStyle w:val="NormalWeb"/>
                          <w:spacing w:before="0" w:beforeAutospacing="0" w:after="0" w:afterAutospacing="0"/>
                        </w:pPr>
                        <w:proofErr w:type="gramStart"/>
                        <w:r>
                          <w:rPr>
                            <w:rFonts w:asciiTheme="minorHAnsi" w:hAnsi="Calibri" w:cstheme="minorBidi"/>
                            <w:color w:val="000000" w:themeColor="text1"/>
                            <w:kern w:val="24"/>
                            <w:sz w:val="36"/>
                            <w:szCs w:val="36"/>
                            <w:lang w:val="en-US"/>
                          </w:rPr>
                          <w:t>d+</w:t>
                        </w:r>
                        <w:proofErr w:type="gramEnd"/>
                        <w:r>
                          <w:rPr>
                            <w:rFonts w:asciiTheme="minorHAnsi" w:hAnsi="Calibri" w:cstheme="minorBidi"/>
                            <w:color w:val="000000" w:themeColor="text1"/>
                            <w:kern w:val="24"/>
                            <w:sz w:val="36"/>
                            <w:szCs w:val="36"/>
                            <w:lang w:val="en-US"/>
                          </w:rPr>
                          <w:t>3</w:t>
                        </w:r>
                      </w:p>
                    </w:txbxContent>
                  </v:textbox>
                </v:shape>
                <v:shape id="TextBox 20" o:spid="_x0000_s1043" type="#_x0000_t202" style="position:absolute;left:46881;top:26988;width:2616;height:36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iySsIA&#10;AADbAAAADwAAAGRycy9kb3ducmV2LnhtbESP3WrCQBSE74W+w3IKvdONoRWNrlKsBe/8fYBD9piN&#10;yZ4N2VVTn74rCF4OM/MNM1t0thZXan3pWMFwkIAgzp0uuVBwPPz2xyB8QNZYOyYFf+RhMX/rzTDT&#10;7sY7uu5DISKEfYYKTAhNJqXPDVn0A9cQR+/kWoshyraQusVbhNtapkkykhZLjgsGG1oayqv9xSoY&#10;J3ZTVZN06+3nffhllj9u1ZyV+njvvqcgAnXhFX6211rBKIXHl/g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2LJKwgAAANsAAAAPAAAAAAAAAAAAAAAAAJgCAABkcnMvZG93&#10;bnJldi54bWxQSwUGAAAAAAQABAD1AAAAhwMAAAAA&#10;" filled="f" stroked="f">
                  <v:textbox style="mso-fit-shape-to-text:t">
                    <w:txbxContent>
                      <w:p w:rsidR="008506CF" w:rsidRDefault="008506CF" w:rsidP="000670EB">
                        <w:pPr>
                          <w:pStyle w:val="NormalWeb"/>
                          <w:spacing w:before="0" w:beforeAutospacing="0" w:after="0" w:afterAutospacing="0"/>
                        </w:pPr>
                        <w:proofErr w:type="gramStart"/>
                        <w:r>
                          <w:rPr>
                            <w:rFonts w:asciiTheme="minorHAnsi" w:hAnsi="Calibri" w:cstheme="minorBidi"/>
                            <w:color w:val="000000" w:themeColor="text1"/>
                            <w:kern w:val="24"/>
                            <w:sz w:val="36"/>
                            <w:szCs w:val="36"/>
                            <w:lang w:val="en-US"/>
                          </w:rPr>
                          <w:t>t</w:t>
                        </w:r>
                        <w:proofErr w:type="gramEnd"/>
                      </w:p>
                    </w:txbxContent>
                  </v:textbox>
                </v:shape>
                <w10:wrap type="topAndBottom"/>
              </v:group>
            </w:pict>
          </mc:Fallback>
        </mc:AlternateContent>
      </w:r>
      <w:r w:rsidR="00F87DCC">
        <w:t xml:space="preserve">Figure </w:t>
      </w:r>
      <w:r w:rsidR="008506CF">
        <w:fldChar w:fldCharType="begin"/>
      </w:r>
      <w:r w:rsidR="008506CF">
        <w:instrText xml:space="preserve"> SEQ Figure \* ARABIC </w:instrText>
      </w:r>
      <w:r w:rsidR="008506CF">
        <w:fldChar w:fldCharType="separate"/>
      </w:r>
      <w:r w:rsidR="00E27138">
        <w:rPr>
          <w:noProof/>
        </w:rPr>
        <w:t>6</w:t>
      </w:r>
      <w:r w:rsidR="008506CF">
        <w:rPr>
          <w:noProof/>
        </w:rPr>
        <w:fldChar w:fldCharType="end"/>
      </w:r>
      <w:bookmarkEnd w:id="9"/>
      <w:r w:rsidR="00F87DCC" w:rsidRPr="00E500E1">
        <w:t>: Debt as a discontinuous injection into the flow of income &amp; expenditure</w:t>
      </w:r>
    </w:p>
    <w:p w:rsidR="00F87DCC" w:rsidRDefault="00F87DCC" w:rsidP="00A370B0">
      <w:r>
        <w:t>Breaking this down into its separate flows of income and expenditure, Income (</w:t>
      </w:r>
      <w:r w:rsidRPr="000E65BC">
        <w:rPr>
          <w:i/>
        </w:rPr>
        <w:t>Y</w:t>
      </w:r>
      <w:r w:rsidR="00672944">
        <w:t>) is equal to $1bn/day</w:t>
      </w:r>
      <w:r>
        <w:t xml:space="preserve"> up to </w:t>
      </w:r>
      <w:r w:rsidRPr="005F2D19">
        <w:rPr>
          <w:i/>
        </w:rPr>
        <w:t>and incl</w:t>
      </w:r>
      <w:r w:rsidR="000E65BC" w:rsidRPr="005F2D19">
        <w:rPr>
          <w:i/>
        </w:rPr>
        <w:t>uding</w:t>
      </w:r>
      <w:r w:rsidR="000E65BC">
        <w:t xml:space="preserve"> time </w:t>
      </w:r>
      <w:r w:rsidR="000E65BC" w:rsidRPr="000E65BC">
        <w:rPr>
          <w:i/>
        </w:rPr>
        <w:t>d</w:t>
      </w:r>
      <w:r w:rsidR="000E65BC">
        <w:t>, after which instant it is equal to $1.1bn/</w:t>
      </w:r>
      <w:r w:rsidR="00672944">
        <w:t>day</w:t>
      </w:r>
      <w:r w:rsidR="000E65BC">
        <w:t>. Expenditure (</w:t>
      </w:r>
      <w:r w:rsidR="000E65BC" w:rsidRPr="000E65BC">
        <w:rPr>
          <w:i/>
        </w:rPr>
        <w:t>E</w:t>
      </w:r>
      <w:r w:rsidR="000E65BC">
        <w:t>) is equal to $1bn/</w:t>
      </w:r>
      <w:r w:rsidR="00672944">
        <w:t>day</w:t>
      </w:r>
      <w:r w:rsidR="000E65BC">
        <w:t xml:space="preserve"> up to </w:t>
      </w:r>
      <w:r w:rsidR="000E65BC" w:rsidRPr="005F2D19">
        <w:rPr>
          <w:i/>
        </w:rPr>
        <w:t>but not including</w:t>
      </w:r>
      <w:r w:rsidR="000E65BC">
        <w:t xml:space="preserve"> time </w:t>
      </w:r>
      <w:r w:rsidR="000E65BC" w:rsidRPr="000E65BC">
        <w:rPr>
          <w:i/>
        </w:rPr>
        <w:t>d</w:t>
      </w:r>
      <w:r w:rsidR="000E65BC">
        <w:t xml:space="preserve">; from </w:t>
      </w:r>
      <w:r w:rsidR="0080798C">
        <w:t xml:space="preserve">and after </w:t>
      </w:r>
      <w:r w:rsidR="000E65BC">
        <w:t xml:space="preserve">time </w:t>
      </w:r>
      <w:r w:rsidR="000E65BC" w:rsidRPr="000E65BC">
        <w:rPr>
          <w:i/>
        </w:rPr>
        <w:t>d</w:t>
      </w:r>
      <w:r w:rsidR="000E65BC">
        <w:t>, expenditure is equal to $1.1bn/</w:t>
      </w:r>
      <w:r w:rsidR="00672944">
        <w:t>day</w:t>
      </w:r>
      <w:r w:rsidR="000E65BC">
        <w:t xml:space="preserve">. Therefore </w:t>
      </w:r>
      <w:r w:rsidR="000E65BC" w:rsidRPr="000E65BC">
        <w:rPr>
          <w:i/>
        </w:rPr>
        <w:t>Y</w:t>
      </w:r>
      <w:r w:rsidR="000E65BC">
        <w:t xml:space="preserve"> and </w:t>
      </w:r>
      <w:r w:rsidR="000E65BC" w:rsidRPr="000E65BC">
        <w:rPr>
          <w:i/>
        </w:rPr>
        <w:t>E</w:t>
      </w:r>
      <w:r w:rsidR="000E65BC">
        <w:t xml:space="preserve"> are equal to each other at all times </w:t>
      </w:r>
      <w:r w:rsidR="000E65BC" w:rsidRPr="000E65BC">
        <w:rPr>
          <w:i/>
        </w:rPr>
        <w:t>except time d</w:t>
      </w:r>
      <w:r w:rsidR="000E65BC">
        <w:t xml:space="preserve">, when </w:t>
      </w:r>
      <w:r w:rsidR="000E65BC" w:rsidRPr="000E65BC">
        <w:rPr>
          <w:i/>
        </w:rPr>
        <w:t>Y</w:t>
      </w:r>
      <w:r w:rsidR="000E65BC">
        <w:t xml:space="preserve"> is $1bn/</w:t>
      </w:r>
      <w:r w:rsidR="00672944">
        <w:t>day</w:t>
      </w:r>
      <w:r w:rsidR="000E65BC">
        <w:t xml:space="preserve"> and </w:t>
      </w:r>
      <w:r w:rsidR="000E65BC" w:rsidRPr="000E65BC">
        <w:rPr>
          <w:i/>
        </w:rPr>
        <w:t>E</w:t>
      </w:r>
      <w:r w:rsidR="00D21E24">
        <w:t xml:space="preserve"> is $1.1bn/</w:t>
      </w:r>
      <w:r w:rsidR="00672944">
        <w:t>day</w:t>
      </w:r>
      <w:r w:rsidR="00D21E24">
        <w:t>:</w:t>
      </w:r>
    </w:p>
    <w:p w:rsidR="00D21E24" w:rsidRDefault="00D21E24" w:rsidP="00D21E24">
      <w:pPr>
        <w:pStyle w:val="MTDisplayEquation"/>
      </w:pPr>
      <w:r>
        <w:tab/>
      </w:r>
      <w:r w:rsidR="00672944" w:rsidRPr="00D21E24">
        <w:rPr>
          <w:position w:val="-114"/>
        </w:rPr>
        <w:object w:dxaOrig="3620" w:dyaOrig="2400">
          <v:shape id="_x0000_i1031" type="#_x0000_t75" style="width:180.35pt;height:119.9pt" o:ole="">
            <v:imagedata r:id="rId26" o:title=""/>
          </v:shape>
          <o:OLEObject Type="Embed" ProgID="Equation.DSMT4" ShapeID="_x0000_i1031" DrawAspect="Content" ObjectID="_1431228550" r:id="rId27"/>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Sec \c \* Arabic \* MERGEFORMAT ">
        <w:r w:rsidR="00E27138">
          <w:rPr>
            <w:noProof/>
          </w:rPr>
          <w:instrText>1</w:instrText>
        </w:r>
      </w:fldSimple>
      <w:r>
        <w:instrText>.</w:instrText>
      </w:r>
      <w:fldSimple w:instr=" SEQ MTEqn \c \* Arabic \* MERGEFORMAT ">
        <w:r w:rsidR="00E27138">
          <w:rPr>
            <w:noProof/>
          </w:rPr>
          <w:instrText>6</w:instrText>
        </w:r>
      </w:fldSimple>
      <w:r>
        <w:instrText>)</w:instrText>
      </w:r>
      <w:r>
        <w:fldChar w:fldCharType="end"/>
      </w:r>
    </w:p>
    <w:p w:rsidR="00D21E24" w:rsidRDefault="00D21E24" w:rsidP="00D21E24">
      <w:r w:rsidRPr="00D21E24">
        <w:rPr>
          <w:i/>
        </w:rPr>
        <w:t>Ex-post</w:t>
      </w:r>
      <w:r>
        <w:t xml:space="preserve"> measurement of </w:t>
      </w:r>
      <w:r w:rsidRPr="00D21E24">
        <w:rPr>
          <w:i/>
        </w:rPr>
        <w:t>Y</w:t>
      </w:r>
      <w:r>
        <w:t xml:space="preserve"> and </w:t>
      </w:r>
      <w:r w:rsidRPr="00D21E24">
        <w:rPr>
          <w:i/>
        </w:rPr>
        <w:t>E</w:t>
      </w:r>
      <w:r>
        <w:t xml:space="preserve"> over any time period, </w:t>
      </w:r>
      <w:r w:rsidRPr="00853B53">
        <w:rPr>
          <w:i/>
        </w:rPr>
        <w:t xml:space="preserve">including a time period in which </w:t>
      </w:r>
      <w:r w:rsidRPr="00853B53">
        <w:rPr>
          <w:b/>
          <w:i/>
        </w:rPr>
        <w:t>d</w:t>
      </w:r>
      <w:r w:rsidRPr="00853B53">
        <w:rPr>
          <w:i/>
        </w:rPr>
        <w:t xml:space="preserve"> occurs</w:t>
      </w:r>
      <w:r>
        <w:t xml:space="preserve">, will find that </w:t>
      </w:r>
      <w:r w:rsidRPr="00D21E24">
        <w:rPr>
          <w:i/>
        </w:rPr>
        <w:t>Y</w:t>
      </w:r>
      <w:r>
        <w:t xml:space="preserve"> and </w:t>
      </w:r>
      <w:r w:rsidRPr="00D21E24">
        <w:rPr>
          <w:i/>
        </w:rPr>
        <w:t>E</w:t>
      </w:r>
      <w:r>
        <w:t xml:space="preserve"> are identical</w:t>
      </w:r>
      <w:r w:rsidR="00672944">
        <w:t>,</w:t>
      </w:r>
      <w:r>
        <w:t xml:space="preserve"> because the change in debt increases them both by the same amount. </w:t>
      </w:r>
      <w:r w:rsidRPr="00897341">
        <w:t>For example, if you</w:t>
      </w:r>
      <w:r>
        <w:t xml:space="preserve"> measure </w:t>
      </w:r>
      <w:r w:rsidRPr="00897341">
        <w:t xml:space="preserve">them from </w:t>
      </w:r>
      <w:r w:rsidR="00935EA7">
        <w:t>3</w:t>
      </w:r>
      <w:r w:rsidRPr="00897341">
        <w:t xml:space="preserve"> </w:t>
      </w:r>
      <w:r w:rsidR="00672944">
        <w:t>hours</w:t>
      </w:r>
      <w:r w:rsidRPr="00897341">
        <w:t xml:space="preserve"> before the debt injection to </w:t>
      </w:r>
      <w:r w:rsidR="00935EA7">
        <w:t>3</w:t>
      </w:r>
      <w:r w:rsidRPr="00897341">
        <w:t xml:space="preserve"> </w:t>
      </w:r>
      <w:r w:rsidR="00672944">
        <w:t>hours</w:t>
      </w:r>
      <w:r w:rsidRPr="00897341">
        <w:t xml:space="preserve"> after the debt injection you get total income = total expenditure = $</w:t>
      </w:r>
      <w:r w:rsidR="00935EA7">
        <w:t>125</w:t>
      </w:r>
      <w:r w:rsidRPr="00897341">
        <w:t>M + $</w:t>
      </w:r>
      <w:r w:rsidR="00935EA7">
        <w:t>137.5</w:t>
      </w:r>
      <w:r w:rsidRPr="00897341">
        <w:t>M = $</w:t>
      </w:r>
      <w:r w:rsidR="00935EA7">
        <w:t>262.5</w:t>
      </w:r>
      <w:r w:rsidRPr="00897341">
        <w:t>M. Of course this is more than the $</w:t>
      </w:r>
      <w:r w:rsidR="00935EA7">
        <w:t>250</w:t>
      </w:r>
      <w:r w:rsidRPr="00897341">
        <w:t xml:space="preserve">M that you would get for a </w:t>
      </w:r>
      <w:r w:rsidR="00935EA7">
        <w:t>6</w:t>
      </w:r>
      <w:r w:rsidR="00672944">
        <w:t xml:space="preserve"> hour</w:t>
      </w:r>
      <w:r w:rsidRPr="00897341">
        <w:t xml:space="preserve"> period without a debt injection, so the debt injection changed the value of the</w:t>
      </w:r>
      <w:r w:rsidR="002B28DE">
        <w:t xml:space="preserve"> measurement (which is the </w:t>
      </w:r>
      <w:r w:rsidR="002B28DE" w:rsidRPr="00897341">
        <w:t>integral</w:t>
      </w:r>
      <w:r w:rsidR="00DD0823">
        <w:t xml:space="preserve"> of the lines </w:t>
      </w:r>
      <w:r w:rsidR="002B28DE">
        <w:t>from the start of the measurement to the end date)</w:t>
      </w:r>
      <w:r w:rsidRPr="00897341">
        <w:t>, but it changed it by the same amount ($25M=$100M/</w:t>
      </w:r>
      <w:r w:rsidR="00672944">
        <w:t>day</w:t>
      </w:r>
      <w:r w:rsidRPr="00897341">
        <w:t xml:space="preserve"> * </w:t>
      </w:r>
      <w:r w:rsidR="00935EA7">
        <w:t xml:space="preserve">¼ </w:t>
      </w:r>
      <w:r w:rsidR="00672944">
        <w:t>day</w:t>
      </w:r>
      <w:r w:rsidRPr="00897341">
        <w:t>) for both income and expenditure.</w:t>
      </w:r>
    </w:p>
    <w:p w:rsidR="00A80E1F" w:rsidRDefault="00A80E1F" w:rsidP="00D21E24">
      <w:r>
        <w:lastRenderedPageBreak/>
        <w:t>Of course in real life all new debt is not added at one instant during a day, but at many different asynchronous times during a day. The same principle applies: at each such instant, expenditure and income will differ, while when measured over a time period including such instants, recorded income and recorded expenditure will be identical.</w:t>
      </w:r>
    </w:p>
    <w:p w:rsidR="00CF321C" w:rsidRDefault="00CF321C" w:rsidP="00CF321C">
      <w:pPr>
        <w:pStyle w:val="Heading2"/>
      </w:pPr>
      <w:r>
        <w:t>Endogenous money and effective supply</w:t>
      </w:r>
    </w:p>
    <w:p w:rsidR="00CF321C" w:rsidRDefault="00CF321C" w:rsidP="00D21E24">
      <w:r>
        <w:t xml:space="preserve">The inclusion of change in debt in the sources of expenditure also necessitates incorporating finance into macroeconomics—since a major (if not the major) use of borrowed money today is in the purchase of financial assets. Equation </w:t>
      </w:r>
      <w:r>
        <w:fldChar w:fldCharType="begin"/>
      </w:r>
      <w:r>
        <w:instrText xml:space="preserve"> GOTOBUTTON ZEqnNum643417  \* MERGEFORMAT </w:instrText>
      </w:r>
      <w:r w:rsidR="008506CF">
        <w:fldChar w:fldCharType="begin"/>
      </w:r>
      <w:r w:rsidR="008506CF">
        <w:instrText xml:space="preserve"> REF ZEqnNum643417 \* Charformat \! \* MERGEFORMAT </w:instrText>
      </w:r>
      <w:r w:rsidR="008506CF">
        <w:fldChar w:fldCharType="separate"/>
      </w:r>
      <w:r w:rsidR="00E27138">
        <w:instrText>(1.7)</w:instrText>
      </w:r>
      <w:r w:rsidR="008506CF">
        <w:fldChar w:fldCharType="end"/>
      </w:r>
      <w:r>
        <w:fldChar w:fldCharType="end"/>
      </w:r>
      <w:r>
        <w:t xml:space="preserve"> shows a stylized statement of the relationship between monetary effective demand and the effective supply of both goods (</w:t>
      </w:r>
      <w:r w:rsidRPr="00CF321C">
        <w:rPr>
          <w:i/>
        </w:rPr>
        <w:t>C</w:t>
      </w:r>
      <w:r>
        <w:t>+</w:t>
      </w:r>
      <w:r w:rsidRPr="00CF321C">
        <w:rPr>
          <w:i/>
        </w:rPr>
        <w:t>I</w:t>
      </w:r>
      <w:r>
        <w:t>) and net turnover on asset markets (</w:t>
      </w:r>
      <w:r w:rsidRPr="00CF321C">
        <w:rPr>
          <w:i/>
        </w:rPr>
        <w:t>A</w:t>
      </w:r>
      <w:r>
        <w:t>).</w:t>
      </w:r>
    </w:p>
    <w:p w:rsidR="00CF321C" w:rsidRDefault="00CF321C" w:rsidP="00CF321C">
      <w:pPr>
        <w:pStyle w:val="MTDisplayEquation"/>
      </w:pPr>
      <w:r>
        <w:tab/>
      </w:r>
      <w:r w:rsidRPr="00CF321C">
        <w:rPr>
          <w:position w:val="-24"/>
        </w:rPr>
        <w:object w:dxaOrig="2580" w:dyaOrig="620">
          <v:shape id="_x0000_i1032" type="#_x0000_t75" style="width:129.4pt;height:30.25pt" o:ole="">
            <v:imagedata r:id="rId28" o:title=""/>
          </v:shape>
          <o:OLEObject Type="Embed" ProgID="Equation.DSMT4" ShapeID="_x0000_i1032" DrawAspect="Content" ObjectID="_1431228551" r:id="rId2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0" w:name="ZEqnNum643417"/>
      <w:r>
        <w:instrText>(</w:instrText>
      </w:r>
      <w:fldSimple w:instr=" SEQ MTSec \c \* Arabic \* MERGEFORMAT ">
        <w:r w:rsidR="00E27138">
          <w:rPr>
            <w:noProof/>
          </w:rPr>
          <w:instrText>1</w:instrText>
        </w:r>
      </w:fldSimple>
      <w:r>
        <w:instrText>.</w:instrText>
      </w:r>
      <w:fldSimple w:instr=" SEQ MTEqn \c \* Arabic \* MERGEFORMAT ">
        <w:r w:rsidR="00E27138">
          <w:rPr>
            <w:noProof/>
          </w:rPr>
          <w:instrText>7</w:instrText>
        </w:r>
      </w:fldSimple>
      <w:r>
        <w:instrText>)</w:instrText>
      </w:r>
      <w:bookmarkEnd w:id="10"/>
      <w:r>
        <w:fldChar w:fldCharType="end"/>
      </w:r>
    </w:p>
    <w:p w:rsidR="00CF321C" w:rsidRDefault="00CF321C" w:rsidP="00CF321C">
      <w:r>
        <w:t>Net turnover on asset markets can be factored into the price level of assets (</w:t>
      </w:r>
      <w:r w:rsidRPr="00CF321C">
        <w:rPr>
          <w:i/>
        </w:rPr>
        <w:t>P</w:t>
      </w:r>
      <w:r w:rsidRPr="00CF321C">
        <w:rPr>
          <w:i/>
          <w:vertAlign w:val="subscript"/>
        </w:rPr>
        <w:t>A</w:t>
      </w:r>
      <w:r>
        <w:t>) times the quantity of assets (</w:t>
      </w:r>
      <w:r w:rsidRPr="00CF321C">
        <w:rPr>
          <w:i/>
        </w:rPr>
        <w:t>Q</w:t>
      </w:r>
      <w:r w:rsidRPr="00CF321C">
        <w:rPr>
          <w:i/>
          <w:vertAlign w:val="subscript"/>
        </w:rPr>
        <w:t>A</w:t>
      </w:r>
      <w:r>
        <w:t>) times the proportion of assets that are turned over in a given time period (</w:t>
      </w:r>
      <w:r w:rsidRPr="00CF321C">
        <w:rPr>
          <w:i/>
        </w:rPr>
        <w:t>T</w:t>
      </w:r>
      <w:r w:rsidRPr="00CF321C">
        <w:rPr>
          <w:i/>
          <w:vertAlign w:val="subscript"/>
        </w:rPr>
        <w:t>A</w:t>
      </w:r>
      <w:r>
        <w:t>):</w:t>
      </w:r>
    </w:p>
    <w:p w:rsidR="00CF321C" w:rsidRPr="00CF321C" w:rsidRDefault="00CF321C" w:rsidP="00CF321C">
      <w:pPr>
        <w:pStyle w:val="MTDisplayEquation"/>
      </w:pPr>
      <w:r>
        <w:tab/>
      </w:r>
      <w:r w:rsidRPr="00CF321C">
        <w:rPr>
          <w:position w:val="-24"/>
        </w:rPr>
        <w:object w:dxaOrig="3379" w:dyaOrig="620">
          <v:shape id="_x0000_i1033" type="#_x0000_t75" style="width:169.15pt;height:30.25pt" o:ole="">
            <v:imagedata r:id="rId30" o:title=""/>
          </v:shape>
          <o:OLEObject Type="Embed" ProgID="Equation.DSMT4" ShapeID="_x0000_i1033" DrawAspect="Content" ObjectID="_1431228552" r:id="rId31"/>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Sec \c \* Arabic \* MERGEFORMAT ">
        <w:r w:rsidR="00E27138">
          <w:rPr>
            <w:noProof/>
          </w:rPr>
          <w:instrText>1</w:instrText>
        </w:r>
      </w:fldSimple>
      <w:r>
        <w:instrText>.</w:instrText>
      </w:r>
      <w:fldSimple w:instr=" SEQ MTEqn \c \* Arabic \* MERGEFORMAT ">
        <w:r w:rsidR="00E27138">
          <w:rPr>
            <w:noProof/>
          </w:rPr>
          <w:instrText>8</w:instrText>
        </w:r>
      </w:fldSimple>
      <w:r>
        <w:instrText>)</w:instrText>
      </w:r>
      <w:r>
        <w:fldChar w:fldCharType="end"/>
      </w:r>
    </w:p>
    <w:p w:rsidR="00CF321C" w:rsidRDefault="00CF321C" w:rsidP="00FF2187">
      <w:r>
        <w:t>The change in aggregate demand therefore includes as a component the acceleration of debt, and this will be related to both change in demand for goods and services and change in asset markets:</w:t>
      </w:r>
    </w:p>
    <w:p w:rsidR="00CF321C" w:rsidRDefault="00CF321C" w:rsidP="00CF321C">
      <w:pPr>
        <w:pStyle w:val="MTDisplayEquation"/>
      </w:pPr>
      <w:r>
        <w:tab/>
      </w:r>
      <w:r w:rsidR="00A65F63" w:rsidRPr="00A65F63">
        <w:rPr>
          <w:position w:val="-28"/>
        </w:rPr>
        <w:object w:dxaOrig="4800" w:dyaOrig="680">
          <v:shape id="_x0000_i1034" type="#_x0000_t75" style="width:240.1pt;height:32.95pt" o:ole="">
            <v:imagedata r:id="rId32" o:title=""/>
          </v:shape>
          <o:OLEObject Type="Embed" ProgID="Equation.DSMT4" ShapeID="_x0000_i1034" DrawAspect="Content" ObjectID="_1431228553" r:id="rId3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Sec \c \* Arabic \* MERGEFORMAT ">
        <w:r w:rsidR="00E27138">
          <w:rPr>
            <w:noProof/>
          </w:rPr>
          <w:instrText>1</w:instrText>
        </w:r>
      </w:fldSimple>
      <w:r>
        <w:instrText>.</w:instrText>
      </w:r>
      <w:fldSimple w:instr=" SEQ MTEqn \c \* Arabic \* MERGEFORMAT ">
        <w:r w:rsidR="00E27138">
          <w:rPr>
            <w:noProof/>
          </w:rPr>
          <w:instrText>9</w:instrText>
        </w:r>
      </w:fldSimple>
      <w:r>
        <w:instrText>)</w:instrText>
      </w:r>
      <w:r>
        <w:fldChar w:fldCharType="end"/>
      </w:r>
    </w:p>
    <w:p w:rsidR="006668D7" w:rsidRDefault="006668D7" w:rsidP="006668D7">
      <w:r>
        <w:t>This clearly results in a major revision of macroeconomics, which has been based on the proposition that income equals expenditure in all schools of thought to date.  The need for such a revision is obvious when one applies this concept to the empirical data. It explains what no other perspective can explain: why the “Great Moderation” occurred</w:t>
      </w:r>
      <w:r w:rsidR="00080BFB">
        <w:t>,</w:t>
      </w:r>
      <w:r>
        <w:t xml:space="preserve"> why it gave way to </w:t>
      </w:r>
      <w:r w:rsidR="00F92AAC">
        <w:t>the “Great Recession” (</w:t>
      </w:r>
      <w:r>
        <w:t>wh</w:t>
      </w:r>
      <w:r w:rsidR="00F92AAC">
        <w:t>ich</w:t>
      </w:r>
      <w:r>
        <w:t xml:space="preserve"> I expect future economists will call the Second Great Depression</w:t>
      </w:r>
      <w:r w:rsidR="00F92AAC">
        <w:t>)</w:t>
      </w:r>
      <w:r w:rsidR="00080BFB">
        <w:t>, and why the severity of this downturn was far milder (for the USA) than the Great Depression, even though the cause was equivalent in scale</w:t>
      </w:r>
      <w:r>
        <w:t>.</w:t>
      </w:r>
    </w:p>
    <w:p w:rsidR="006668D7" w:rsidRPr="00FF2187" w:rsidRDefault="006668D7" w:rsidP="006668D7">
      <w:pPr>
        <w:pStyle w:val="Heading1"/>
      </w:pPr>
      <w:r>
        <w:t>Empirical evidence on the change in debt &amp; economic activity</w:t>
      </w:r>
    </w:p>
    <w:p w:rsidR="006668D7" w:rsidRDefault="006668D7" w:rsidP="006668D7">
      <w:r>
        <w:t xml:space="preserve">Relationships between change in the aggregate level of debt and the level of output, and acceleration of debt and change in asset prices are easily identified in the data—in stark contrast to the Neoclassical </w:t>
      </w:r>
      <w:r w:rsidRPr="00A65F63">
        <w:rPr>
          <w:i/>
        </w:rPr>
        <w:t>a priori</w:t>
      </w:r>
      <w:r>
        <w:t xml:space="preserve"> that changes in the aggregate level of debt represent “no more than a redistribution from one group (debtors) to another (creditors)” </w:t>
      </w:r>
      <w:r>
        <w:fldChar w:fldCharType="begin"/>
      </w:r>
      <w:r>
        <w:instrText xml:space="preserve"> ADDIN EN.CITE &lt;EndNote&gt;&lt;Cite&gt;&lt;Author&gt;Bernanke&lt;/Author&gt;&lt;Year&gt;2000&lt;/Year&gt;&lt;RecNum&gt;1098&lt;/RecNum&gt;&lt;Suffix&gt;`, p. 24&lt;/Suffix&gt;&lt;DisplayText&gt;(Bernanke 2000, p. 24)&lt;/DisplayText&gt;&lt;record&gt;&lt;rec-number&gt;1098&lt;/rec-number&gt;&lt;foreign-keys&gt;&lt;key app="EN" db-id="avereev0mavvele2e0pvtaw6xzxpwd0tpdv5"&gt;1098&lt;/key&gt;&lt;/foreign-keys&gt;&lt;ref-type name="Book"&gt;6&lt;/ref-type&gt;&lt;contributors&gt;&lt;authors&gt;&lt;author&gt;Bernanke, Ben S.&lt;/author&gt;&lt;/authors&gt;&lt;/contributors&gt;&lt;titles&gt;&lt;title&gt;Essays on the Great Depression&lt;/title&gt;&lt;/titles&gt;&lt;pages&gt;ix&lt;/pages&gt;&lt;keywords&gt;&lt;keyword&gt;Business Fluctuations&lt;/keyword&gt;&lt;keyword&gt;Cycles E320&lt;/keyword&gt;&lt;keyword&gt;Economic History: Macroeconomics&lt;/keyword&gt;&lt;keyword&gt;Growth and Fluctuations: U.S.&lt;/keyword&gt;&lt;keyword&gt;Canada: 1913- N120&lt;/keyword&gt;&lt;/keywords&gt;&lt;dates&gt;&lt;year&gt;2000&lt;/year&gt;&lt;/dates&gt;&lt;pub-location&gt;Princeton&lt;/pub-location&gt;&lt;publisher&gt;Princeton University Press&lt;/publisher&gt;&lt;urls&gt;&lt;related-urls&gt;&lt;url&gt;http://search.ebscohost.com/login.aspx?direct=true&amp;amp;db=ecn&amp;amp;AN=0535821&amp;amp;site=ehost-live&lt;/url&gt;&lt;/related-urls&gt;&lt;/urls&gt;&lt;/record&gt;&lt;/Cite&gt;&lt;/EndNote&gt;</w:instrText>
      </w:r>
      <w:r>
        <w:fldChar w:fldCharType="separate"/>
      </w:r>
      <w:r>
        <w:rPr>
          <w:noProof/>
        </w:rPr>
        <w:t>(</w:t>
      </w:r>
      <w:hyperlink w:anchor="_ENREF_2" w:tooltip="Bernanke, 2000 #1098" w:history="1">
        <w:r w:rsidR="00DD06E2">
          <w:rPr>
            <w:noProof/>
          </w:rPr>
          <w:t>Bernanke 2000, p. 24</w:t>
        </w:r>
      </w:hyperlink>
      <w:r>
        <w:rPr>
          <w:noProof/>
        </w:rPr>
        <w:t>)</w:t>
      </w:r>
      <w:r>
        <w:fldChar w:fldCharType="end"/>
      </w:r>
      <w:r>
        <w:t xml:space="preserve">. </w:t>
      </w:r>
      <w:r>
        <w:fldChar w:fldCharType="begin"/>
      </w:r>
      <w:r>
        <w:instrText xml:space="preserve"> REF _Ref356763415 \h </w:instrText>
      </w:r>
      <w:r>
        <w:fldChar w:fldCharType="separate"/>
      </w:r>
      <w:r w:rsidR="00E27138">
        <w:t xml:space="preserve">Figure </w:t>
      </w:r>
      <w:r w:rsidR="00E27138">
        <w:rPr>
          <w:noProof/>
        </w:rPr>
        <w:t>7</w:t>
      </w:r>
      <w:r>
        <w:fldChar w:fldCharType="end"/>
      </w:r>
      <w:r>
        <w:t xml:space="preserve"> shows the </w:t>
      </w:r>
      <w:r w:rsidR="00E14775">
        <w:t xml:space="preserve">correlations emanating from the </w:t>
      </w:r>
      <w:r>
        <w:t>causal relationship between change in debt (as a source of demand) and the level of unemployment—a correlation of -0.92 over a 23 year period.</w:t>
      </w:r>
    </w:p>
    <w:p w:rsidR="006668D7" w:rsidRDefault="006668D7" w:rsidP="00FF2187"/>
    <w:p w:rsidR="00882C95" w:rsidRDefault="00882C95" w:rsidP="00882C95">
      <w:pPr>
        <w:pStyle w:val="Caption"/>
        <w:keepNext/>
      </w:pPr>
      <w:bookmarkStart w:id="11" w:name="_Ref356763415"/>
      <w:r>
        <w:lastRenderedPageBreak/>
        <w:t xml:space="preserve">Figure </w:t>
      </w:r>
      <w:r w:rsidR="008506CF">
        <w:fldChar w:fldCharType="begin"/>
      </w:r>
      <w:r w:rsidR="008506CF">
        <w:instrText xml:space="preserve"> SEQ Figure \* ARABIC </w:instrText>
      </w:r>
      <w:r w:rsidR="008506CF">
        <w:fldChar w:fldCharType="separate"/>
      </w:r>
      <w:r w:rsidR="00E27138">
        <w:rPr>
          <w:noProof/>
        </w:rPr>
        <w:t>7</w:t>
      </w:r>
      <w:r w:rsidR="008506CF">
        <w:rPr>
          <w:noProof/>
        </w:rPr>
        <w:fldChar w:fldCharType="end"/>
      </w:r>
      <w:bookmarkEnd w:id="11"/>
      <w:r>
        <w:t>: Change in private debt &amp;</w:t>
      </w:r>
      <w:r>
        <w:rPr>
          <w:noProof/>
        </w:rPr>
        <w:t xml:space="preserve"> unemployment (Correlation -0.92)</w:t>
      </w:r>
    </w:p>
    <w:p w:rsidR="00882C95" w:rsidRDefault="00882C95" w:rsidP="00FF2187">
      <w:r>
        <w:rPr>
          <w:rFonts w:ascii="Arial" w:hAnsi="Arial" w:cs="Arial"/>
          <w:noProof/>
          <w:position w:val="-493"/>
          <w:sz w:val="20"/>
          <w:szCs w:val="20"/>
          <w:lang w:val="en-AU" w:eastAsia="en-AU"/>
        </w:rPr>
        <w:drawing>
          <wp:inline distT="0" distB="0" distL="0" distR="0" wp14:anchorId="7AC3EA7C" wp14:editId="49078BEF">
            <wp:extent cx="4533900" cy="31337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33900" cy="3133725"/>
                    </a:xfrm>
                    <a:prstGeom prst="rect">
                      <a:avLst/>
                    </a:prstGeom>
                    <a:noFill/>
                    <a:ln>
                      <a:noFill/>
                    </a:ln>
                  </pic:spPr>
                </pic:pic>
              </a:graphicData>
            </a:graphic>
          </wp:inline>
        </w:drawing>
      </w:r>
    </w:p>
    <w:p w:rsidR="00882C95" w:rsidRDefault="00882C95" w:rsidP="00FF2187">
      <w:r>
        <w:t xml:space="preserve">The second differential effect—the correlation of acceleration of debt with change in employment—is also very strong over an extended period. I approximate the acceleration of debt by the change in the change in debt over a year, divided by GDP at the midpoint of that year, a factor that I call the Credit Accelerator </w:t>
      </w:r>
      <w:r>
        <w:fldChar w:fldCharType="begin">
          <w:fldData xml:space="preserve">PEVuZE5vdGU+PENpdGU+PEF1dGhvcj5CaWdnczwvQXV0aG9yPjxZZWFyPjIwMTA8L1llYXI+PFJl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</w:fldData>
        </w:fldChar>
      </w:r>
      <w:r>
        <w:instrText xml:space="preserve"> ADDIN EN.CITE </w:instrText>
      </w:r>
      <w:r>
        <w:fldChar w:fldCharType="begin">
          <w:fldData xml:space="preserve">PEVuZE5vdGU+PENpdGU+PEF1dGhvcj5CaWdnczwvQXV0aG9yPjxZZWFyPjIwMTA8L1llYXI+PFJl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</w:fldData>
        </w:fldChar>
      </w:r>
      <w:r>
        <w:instrText xml:space="preserve"> ADDIN EN.CITE.DATA </w:instrText>
      </w:r>
      <w:r>
        <w:fldChar w:fldCharType="end"/>
      </w:r>
      <w:r>
        <w:fldChar w:fldCharType="separate"/>
      </w:r>
      <w:r>
        <w:rPr>
          <w:noProof/>
        </w:rPr>
        <w:t xml:space="preserve">(see also the Credit Impulse in </w:t>
      </w:r>
      <w:hyperlink w:anchor="_ENREF_3" w:tooltip="Biggs, 2010 #3280" w:history="1">
        <w:r w:rsidR="00DD06E2">
          <w:rPr>
            <w:noProof/>
          </w:rPr>
          <w:t>Biggs and Mayer 2010</w:t>
        </w:r>
      </w:hyperlink>
      <w:r>
        <w:rPr>
          <w:noProof/>
        </w:rPr>
        <w:t xml:space="preserve">; </w:t>
      </w:r>
      <w:hyperlink w:anchor="_ENREF_4" w:tooltip="Biggs, 2010 #1411" w:history="1">
        <w:r w:rsidR="00DD06E2">
          <w:rPr>
            <w:noProof/>
          </w:rPr>
          <w:t>Biggs, Mayer et al. 2010</w:t>
        </w:r>
      </w:hyperlink>
      <w:r>
        <w:rPr>
          <w:noProof/>
        </w:rPr>
        <w:t>)</w:t>
      </w:r>
      <w:r>
        <w:fldChar w:fldCharType="end"/>
      </w:r>
      <w:r>
        <w:t>.</w:t>
      </w:r>
      <w:r w:rsidR="00CC00F0">
        <w:t xml:space="preserve"> The correlation of the Credit Accelerator with change in private employment over 1955-2013 is 0.64.</w:t>
      </w:r>
    </w:p>
    <w:p w:rsidR="00CC00F0" w:rsidRDefault="00CC00F0" w:rsidP="00CC00F0">
      <w:pPr>
        <w:pStyle w:val="Caption"/>
        <w:keepNext/>
      </w:pPr>
      <w:r>
        <w:t xml:space="preserve">Figure </w:t>
      </w:r>
      <w:r w:rsidR="008506CF">
        <w:fldChar w:fldCharType="begin"/>
      </w:r>
      <w:r w:rsidR="008506CF">
        <w:instrText xml:space="preserve"> SEQ Figure \* ARABIC </w:instrText>
      </w:r>
      <w:r w:rsidR="008506CF">
        <w:fldChar w:fldCharType="separate"/>
      </w:r>
      <w:r w:rsidR="00E27138">
        <w:rPr>
          <w:noProof/>
        </w:rPr>
        <w:t>8</w:t>
      </w:r>
      <w:r w:rsidR="008506CF">
        <w:rPr>
          <w:noProof/>
        </w:rPr>
        <w:fldChar w:fldCharType="end"/>
      </w:r>
      <w:r>
        <w:t>: Acceleration in debt and change in employment (Correlation 0.64)</w:t>
      </w:r>
    </w:p>
    <w:p w:rsidR="00CC00F0" w:rsidRDefault="00CC00F0" w:rsidP="00FF2187">
      <w:r>
        <w:rPr>
          <w:rFonts w:ascii="Arial" w:hAnsi="Arial" w:cs="Arial"/>
          <w:noProof/>
          <w:position w:val="-490"/>
          <w:sz w:val="20"/>
          <w:szCs w:val="20"/>
          <w:lang w:val="en-AU" w:eastAsia="en-AU"/>
        </w:rPr>
        <w:drawing>
          <wp:inline distT="0" distB="0" distL="0" distR="0" wp14:anchorId="5645E18D" wp14:editId="51EAD548">
            <wp:extent cx="4505325" cy="31146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05325" cy="3114675"/>
                    </a:xfrm>
                    <a:prstGeom prst="rect">
                      <a:avLst/>
                    </a:prstGeom>
                    <a:noFill/>
                    <a:ln>
                      <a:noFill/>
                    </a:ln>
                  </pic:spPr>
                </pic:pic>
              </a:graphicData>
            </a:graphic>
          </wp:inline>
        </w:drawing>
      </w:r>
    </w:p>
    <w:p w:rsidR="00C24755" w:rsidRDefault="00C24755" w:rsidP="007E1F0F">
      <w:r>
        <w:lastRenderedPageBreak/>
        <w:t xml:space="preserve">These powerful long-term correlations should be sufficient to dispense with the Neoclassical </w:t>
      </w:r>
      <w:r w:rsidR="003A1FC2">
        <w:t>belief</w:t>
      </w:r>
      <w:r>
        <w:t xml:space="preserve"> that changes in debt represent “pure redistributions” that “</w:t>
      </w:r>
      <w:r w:rsidRPr="00C24755">
        <w:t>should have no significant macro-economic effects…</w:t>
      </w:r>
      <w:r>
        <w:t xml:space="preserve">”  </w:t>
      </w:r>
      <w:r>
        <w:fldChar w:fldCharType="begin"/>
      </w:r>
      <w:r w:rsidR="006704B9">
        <w:instrText xml:space="preserve"> ADDIN EN.CITE &lt;EndNote&gt;&lt;Cite&gt;&lt;Author&gt;Bernanke&lt;/Author&gt;&lt;Year&gt;2000&lt;/Year&gt;&lt;RecNum&gt;1098&lt;/RecNum&gt;&lt;Suffix&gt;`, p. 24&lt;/Suffix&gt;&lt;DisplayText&gt;(Bernanke 2000, p. 24)&lt;/DisplayText&gt;&lt;record&gt;&lt;rec-number&gt;1098&lt;/rec-number&gt;&lt;foreign-keys&gt;&lt;key app="EN" db-id="avereev0mavvele2e0pvtaw6xzxpwd0tpdv5"&gt;1098&lt;/key&gt;&lt;/foreign-keys&gt;&lt;ref-type name="Book"&gt;6&lt;/ref-type&gt;&lt;contributors&gt;&lt;authors&gt;&lt;author&gt;Bernanke, Ben S.&lt;/author&gt;&lt;/authors&gt;&lt;/contributors&gt;&lt;titles&gt;&lt;title&gt;Essays on the Great Depression&lt;/title&gt;&lt;/titles&gt;&lt;pages&gt;ix&lt;/pages&gt;&lt;keywords&gt;&lt;keyword&gt;Business Fluctuations&lt;/keyword&gt;&lt;keyword&gt;Cycles E320&lt;/keyword&gt;&lt;keyword&gt;Economic History: Macroeconomics&lt;/keyword&gt;&lt;keyword&gt;Growth and Fluctuations: U.S.&lt;/keyword&gt;&lt;keyword&gt;Canada: 1913- N120&lt;/keyword&gt;&lt;/keywords&gt;&lt;dates&gt;&lt;year&gt;2000&lt;/year&gt;&lt;/dates&gt;&lt;pub-location&gt;Princeton&lt;/pub-location&gt;&lt;publisher&gt;Princeton University Press&lt;/publisher&gt;&lt;urls&gt;&lt;related-urls&gt;&lt;url&gt;http://search.ebscohost.com/login.aspx?direct=true&amp;amp;db=ecn&amp;amp;AN=0535821&amp;amp;site=ehost-live&lt;/url&gt;&lt;/related-urls&gt;&lt;/urls&gt;&lt;/record&gt;&lt;/Cite&gt;&lt;/EndNote&gt;</w:instrText>
      </w:r>
      <w:r>
        <w:fldChar w:fldCharType="separate"/>
      </w:r>
      <w:r w:rsidR="006704B9">
        <w:rPr>
          <w:noProof/>
        </w:rPr>
        <w:t>(</w:t>
      </w:r>
      <w:hyperlink w:anchor="_ENREF_2" w:tooltip="Bernanke, 2000 #1098" w:history="1">
        <w:r w:rsidR="00DD06E2">
          <w:rPr>
            <w:noProof/>
          </w:rPr>
          <w:t>Bernanke 2000, p. 24</w:t>
        </w:r>
      </w:hyperlink>
      <w:r w:rsidR="006704B9">
        <w:rPr>
          <w:noProof/>
        </w:rPr>
        <w:t>)</w:t>
      </w:r>
      <w:r>
        <w:fldChar w:fldCharType="end"/>
      </w:r>
      <w:r w:rsidR="00A02235">
        <w:t xml:space="preserve">. </w:t>
      </w:r>
      <w:r w:rsidR="002F7A43">
        <w:t xml:space="preserve">A focus on more recent data </w:t>
      </w:r>
      <w:r w:rsidR="00A161FF">
        <w:t xml:space="preserve">also </w:t>
      </w:r>
      <w:r w:rsidR="002F7A43">
        <w:t>shows that the change from growing to shrinking aggregate private debt was the “</w:t>
      </w:r>
      <w:r w:rsidR="008F6AF8">
        <w:t xml:space="preserve">adverse </w:t>
      </w:r>
      <w:r w:rsidR="002F7A43">
        <w:t xml:space="preserve">shock” </w:t>
      </w:r>
      <w:r w:rsidR="008F6AF8">
        <w:fldChar w:fldCharType="begin"/>
      </w:r>
      <w:r w:rsidR="008F6AF8">
        <w:instrText xml:space="preserve"> ADDIN EN.CITE &lt;EndNote&gt;&lt;Cite&gt;&lt;Author&gt;Ireland&lt;/Author&gt;&lt;Year&gt;2011&lt;/Year&gt;&lt;RecNum&gt;2215&lt;/RecNum&gt;&lt;DisplayText&gt;(Ireland 2011)&lt;/DisplayText&gt;&lt;record&gt;&lt;rec-number&gt;2215&lt;/rec-number&gt;&lt;foreign-keys&gt;&lt;key app="EN" db-id="avereev0mavvele2e0pvtaw6xzxpwd0tpdv5"&gt;2215&lt;/key&gt;&lt;/foreign-keys&gt;&lt;ref-type name="Journal Article"&gt;17&lt;/ref-type&gt;&lt;contributors&gt;&lt;authors&gt;&lt;author&gt;Ireland, Peter N.&lt;/author&gt;&lt;/authors&gt;&lt;/contributors&gt;&lt;auth-address&gt;Boston College&lt;/auth-address&gt;&lt;titles&gt;&lt;title&gt;A New Keynesian Perspective on the Great Recession&lt;/title&gt;&lt;secondary-title&gt;Journal of Money, Credit, and Banking&lt;/secondary-title&gt;&lt;/titles&gt;&lt;periodical&gt;&lt;full-title&gt;Journal of Money, Credit, and Banking&lt;/full-title&gt;&lt;/periodical&gt;&lt;pages&gt;31-54&lt;/pages&gt;&lt;volume&gt;43&lt;/volume&gt;&lt;number&gt;1&lt;/number&gt;&lt;keywords&gt;&lt;keyword&gt;General Aggregative Models: Keynes&lt;/keyword&gt;&lt;keyword&gt;Keynesian&lt;/keyword&gt;&lt;keyword&gt;Post-Keynesian E120&lt;/keyword&gt;&lt;keyword&gt;Macroeconomics: Production E230&lt;/keyword&gt;&lt;keyword&gt;Business Fluctuations&lt;/keyword&gt;&lt;keyword&gt;Cycles E320&lt;/keyword&gt;&lt;keyword&gt;Interest Rates: Determination, Term Structure, and Effects E430&lt;/keyword&gt;&lt;keyword&gt;Monetary Policy E520&lt;/keyword&gt;&lt;/keywords&gt;&lt;dates&gt;&lt;year&gt;2011&lt;/year&gt;&lt;/dates&gt;&lt;isbn&gt;00222879&lt;/isbn&gt;&lt;accession-num&gt;1152759&lt;/accession-num&gt;&lt;urls&gt;&lt;related-urls&gt;&lt;url&gt;http://ezproxy.uws.edu.au/login?url=http://search.ebscohost.com/login.aspx?direct=true&amp;amp;db=ecn&amp;amp;AN=1152759&amp;amp;site=ehost-live&amp;amp;scope=site&lt;/url&gt;&lt;url&gt;http://www.blackwellpublishing.com/journal.asp?ref=0022-2879&lt;/url&gt;&lt;/related-urls&gt;&lt;/urls&gt;&lt;electronic-resource-num&gt;http://www.blackwellpublishing.com/journal.asp?ref=0022-2879&lt;/electronic-resource-num&gt;&lt;remote-database-name&gt;ecn&lt;/remote-database-name&gt;&lt;remote-database-provider&gt;EBSCOhost&lt;/remote-database-provider&gt;&lt;/record&gt;&lt;/Cite&gt;&lt;/EndNote&gt;</w:instrText>
      </w:r>
      <w:r w:rsidR="008F6AF8">
        <w:fldChar w:fldCharType="separate"/>
      </w:r>
      <w:r w:rsidR="008F6AF8">
        <w:rPr>
          <w:noProof/>
        </w:rPr>
        <w:t>(</w:t>
      </w:r>
      <w:hyperlink w:anchor="_ENREF_14" w:tooltip="Ireland, 2011 #2215" w:history="1">
        <w:r w:rsidR="00DD06E2">
          <w:rPr>
            <w:noProof/>
          </w:rPr>
          <w:t>Ireland 2011</w:t>
        </w:r>
      </w:hyperlink>
      <w:r w:rsidR="008F6AF8">
        <w:rPr>
          <w:noProof/>
        </w:rPr>
        <w:t>)</w:t>
      </w:r>
      <w:r w:rsidR="008F6AF8">
        <w:fldChar w:fldCharType="end"/>
      </w:r>
      <w:r w:rsidR="008F6AF8">
        <w:t xml:space="preserve"> to aggregate </w:t>
      </w:r>
      <w:r w:rsidR="00586304">
        <w:t xml:space="preserve">demand </w:t>
      </w:r>
      <w:r w:rsidR="002F7A43">
        <w:t>that caused</w:t>
      </w:r>
      <w:r w:rsidR="008F6AF8">
        <w:t xml:space="preserve"> the economic crisis of 2007/08—and which escaped the attention of Neoclassical economists because of their false </w:t>
      </w:r>
      <w:r w:rsidR="008F6AF8" w:rsidRPr="008F6AF8">
        <w:rPr>
          <w:i/>
        </w:rPr>
        <w:t>a priori</w:t>
      </w:r>
      <w:r w:rsidR="008F6AF8">
        <w:t xml:space="preserve"> about </w:t>
      </w:r>
      <w:r w:rsidR="00586304">
        <w:t xml:space="preserve">the level of or changes in </w:t>
      </w:r>
      <w:r w:rsidR="008F6AF8">
        <w:t>aggregate debt</w:t>
      </w:r>
      <w:r w:rsidR="00E14775">
        <w:t xml:space="preserve"> being irrelevant to aggregate demand</w:t>
      </w:r>
      <w:r w:rsidR="008F6AF8">
        <w:t>.</w:t>
      </w:r>
    </w:p>
    <w:p w:rsidR="00A161FF" w:rsidRDefault="00A161FF" w:rsidP="007E1F0F">
      <w:r>
        <w:t>The decline in nominal GDP in the Great Recession was minor, belated, and belied both the length and the impact of the Great Recession itself. Nominal GDP peaked at $14.4 trillion in July 2008 and fell to $13.9 trillion by June 2009—a peak to trough decline of 4% over one year. But with aggregate (or effective) demand defined as GDP plus the change in debt, private sector aggregate demand peaked at $18.4 trillion in November 2007 an</w:t>
      </w:r>
      <w:r w:rsidR="00E05335">
        <w:tab/>
      </w:r>
      <w:r>
        <w:t>d plunged to $11.4 trillion in February 2010—a 38% decline over 2 and a quarter years</w:t>
      </w:r>
      <w:r w:rsidR="00B21D3A">
        <w:t xml:space="preserve"> (see </w:t>
      </w:r>
      <w:r w:rsidR="00B21D3A">
        <w:fldChar w:fldCharType="begin"/>
      </w:r>
      <w:r w:rsidR="00B21D3A">
        <w:instrText xml:space="preserve"> REF _Ref356897269 \h </w:instrText>
      </w:r>
      <w:r w:rsidR="00B21D3A">
        <w:fldChar w:fldCharType="separate"/>
      </w:r>
      <w:r w:rsidR="00E27138">
        <w:t xml:space="preserve">Figure </w:t>
      </w:r>
      <w:r w:rsidR="00E27138">
        <w:rPr>
          <w:noProof/>
        </w:rPr>
        <w:t>11</w:t>
      </w:r>
      <w:r w:rsidR="00B21D3A">
        <w:fldChar w:fldCharType="end"/>
      </w:r>
      <w:r w:rsidR="00B21D3A">
        <w:t>)</w:t>
      </w:r>
      <w:r>
        <w:t>.</w:t>
      </w:r>
    </w:p>
    <w:p w:rsidR="00866A50" w:rsidRDefault="00866A50" w:rsidP="00866A50">
      <w:pPr>
        <w:pStyle w:val="Caption"/>
        <w:keepNext/>
      </w:pPr>
      <w:bookmarkStart w:id="12" w:name="_Ref356897269"/>
      <w:r>
        <w:t xml:space="preserve">Figure </w:t>
      </w:r>
      <w:r w:rsidR="008506CF">
        <w:fldChar w:fldCharType="begin"/>
      </w:r>
      <w:r w:rsidR="008506CF">
        <w:instrText xml:space="preserve"> SEQ Figure \* ARABIC </w:instrText>
      </w:r>
      <w:r w:rsidR="008506CF">
        <w:fldChar w:fldCharType="separate"/>
      </w:r>
      <w:r w:rsidR="00E27138">
        <w:rPr>
          <w:noProof/>
        </w:rPr>
        <w:t>11</w:t>
      </w:r>
      <w:r w:rsidR="008506CF">
        <w:rPr>
          <w:noProof/>
        </w:rPr>
        <w:fldChar w:fldCharType="end"/>
      </w:r>
      <w:bookmarkEnd w:id="12"/>
      <w:r>
        <w:t xml:space="preserve">: Change in </w:t>
      </w:r>
      <w:r w:rsidR="00E05335">
        <w:t xml:space="preserve">private </w:t>
      </w:r>
      <w:r>
        <w:t>debt as cause of Great Recession</w:t>
      </w:r>
    </w:p>
    <w:p w:rsidR="00866A50" w:rsidRDefault="00E05335" w:rsidP="007E1F0F">
      <w:r w:rsidRPr="00E05335">
        <w:rPr>
          <w:rFonts w:ascii="Arial" w:hAnsi="Arial" w:cs="Arial"/>
          <w:noProof/>
          <w:position w:val="-500"/>
          <w:sz w:val="20"/>
          <w:szCs w:val="20"/>
          <w:lang w:val="en-AU" w:eastAsia="en-AU"/>
        </w:rPr>
        <w:drawing>
          <wp:inline distT="0" distB="0" distL="0" distR="0" wp14:anchorId="1F3D4646" wp14:editId="0CBDBDA1">
            <wp:extent cx="4460240" cy="31781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60240" cy="3178175"/>
                    </a:xfrm>
                    <a:prstGeom prst="rect">
                      <a:avLst/>
                    </a:prstGeom>
                    <a:noFill/>
                    <a:ln>
                      <a:noFill/>
                    </a:ln>
                  </pic:spPr>
                </pic:pic>
              </a:graphicData>
            </a:graphic>
          </wp:inline>
        </w:drawing>
      </w:r>
    </w:p>
    <w:p w:rsidR="00652E7C" w:rsidRDefault="00F507B8" w:rsidP="007E1F0F">
      <w:r>
        <w:t>When the contribution of government bank-debt financed net spending is taken into account, it is possible to see why this crisis, though every bit as severe as the Great Depression in its cause, was far less severe in its symptoms. The dramatic and rapi</w:t>
      </w:r>
      <w:r w:rsidR="00E05335">
        <w:t>d growth in government spending—predominantly from the “automatic stabilizer” effect of declining tax revenue and increased social security payments, but also from the Obama stimulus package—</w:t>
      </w:r>
      <w:r>
        <w:t xml:space="preserve">injected a cash flow into the economy that attenuated the severe decline in private sector demand, and ultimately led to private sector deleveraging ceasing by April 2012 (as can be seen from </w:t>
      </w:r>
      <w:r>
        <w:fldChar w:fldCharType="begin"/>
      </w:r>
      <w:r>
        <w:instrText xml:space="preserve"> REF _Ref356897269 \h </w:instrText>
      </w:r>
      <w:r>
        <w:fldChar w:fldCharType="separate"/>
      </w:r>
      <w:r w:rsidR="00E27138">
        <w:t xml:space="preserve">Figure </w:t>
      </w:r>
      <w:r w:rsidR="00E27138">
        <w:rPr>
          <w:noProof/>
        </w:rPr>
        <w:t>11</w:t>
      </w:r>
      <w:r>
        <w:fldChar w:fldCharType="end"/>
      </w:r>
      <w:r>
        <w:t>).</w:t>
      </w:r>
    </w:p>
    <w:p w:rsidR="00652E7C" w:rsidRDefault="00F507B8" w:rsidP="007E1F0F">
      <w:r>
        <w:lastRenderedPageBreak/>
        <w:fldChar w:fldCharType="begin"/>
      </w:r>
      <w:r>
        <w:instrText xml:space="preserve"> REF _Ref356897636 \h </w:instrText>
      </w:r>
      <w:r>
        <w:fldChar w:fldCharType="separate"/>
      </w:r>
      <w:r w:rsidR="00E27138">
        <w:t xml:space="preserve">Figure </w:t>
      </w:r>
      <w:r w:rsidR="00E27138">
        <w:rPr>
          <w:noProof/>
        </w:rPr>
        <w:t>12</w:t>
      </w:r>
      <w:r>
        <w:fldChar w:fldCharType="end"/>
      </w:r>
      <w:r>
        <w:t xml:space="preserve"> compares the level of debt-financed aggregate demand in the Great Depression and the Great Recession from the </w:t>
      </w:r>
      <w:r w:rsidR="00D02477">
        <w:t>date at which private sector debt-financed demand peaked as a percentage of GDP—1928 in the former case and January 2008 in the latter</w:t>
      </w:r>
      <w:r w:rsidR="00DD0A56">
        <w:t>.</w:t>
      </w:r>
      <w:r w:rsidR="00652E7C">
        <w:t xml:space="preserve"> </w:t>
      </w:r>
      <w:r w:rsidR="00D02477">
        <w:t>The peak in the “Roaring Twenties” was far lower than in the “Naughty Noughties”—8</w:t>
      </w:r>
      <w:r w:rsidR="00364C03">
        <w:t>%</w:t>
      </w:r>
      <w:r w:rsidR="00D02477">
        <w:t xml:space="preserve"> </w:t>
      </w:r>
      <w:r w:rsidR="00364C03">
        <w:t xml:space="preserve">of GDP equivalent in 1928 </w:t>
      </w:r>
      <w:r w:rsidR="00D02477">
        <w:t xml:space="preserve">versus 22% </w:t>
      </w:r>
      <w:r w:rsidR="00364C03">
        <w:t xml:space="preserve">in 2008 </w:t>
      </w:r>
      <w:r w:rsidR="00D02477">
        <w:t>with private sector debt-financed demand alone, and 25% when government is included.</w:t>
      </w:r>
      <w:r w:rsidR="00DD0A56">
        <w:t xml:space="preserve"> The trough, on the other hand, was almost identical for the decline in private sector debt-financed spending—with deleveraging reducing aggregate demand by 25% in both cases—and far more rapid </w:t>
      </w:r>
      <w:r w:rsidR="00652E7C">
        <w:t>in 2008-2010 than in 1928-1931.</w:t>
      </w:r>
    </w:p>
    <w:p w:rsidR="00866A50" w:rsidRDefault="00DD0A56" w:rsidP="007E1F0F">
      <w:r>
        <w:t>Government spending drastically changed the picture however. The peak level of government stimulus in the Great Depression (indicated by the gap between the two blue lines) never reached 10% of GDP. But the much-maligned Obama stimulus</w:t>
      </w:r>
      <w:r w:rsidR="00364C03">
        <w:t xml:space="preserve">, when overlaid on top of the normal “automatic stabilizer” growth in government spending during a downturn, </w:t>
      </w:r>
      <w:r>
        <w:t>was far bigger</w:t>
      </w:r>
      <w:r w:rsidR="00364C03">
        <w:t xml:space="preserve"> (even though it lacked signature infrastructure projects like the Hoover Dam)</w:t>
      </w:r>
      <w:r>
        <w:t xml:space="preserve">, peaking at almost 15% of GDP. It also hit maximum </w:t>
      </w:r>
      <w:r w:rsidR="0020086E">
        <w:t xml:space="preserve">thrust much more rapidly than in the 1930s, with peak spending coming a mere 2 ¼ years after the decline in aggregate demand began </w:t>
      </w:r>
      <w:r w:rsidR="004F5434">
        <w:t>versus 3 ½ years in the 1930s—and 6 years before the much lauded “New Deal”.</w:t>
      </w:r>
    </w:p>
    <w:p w:rsidR="00AA1389" w:rsidRDefault="00AA1389" w:rsidP="007E1F0F">
      <w:r>
        <w:t>The consequence of this rapid Government intervention is that private sector deleveraging ended much more quickly than it did during the Great Depression: a mere 4 years after the start of the crisis, the private sector was once again borrowing money in the aggregate, and the change in debt was once again boosting aggregate demand rather than reducing it, while the period of outright deleveraging lasted just 18 months. This compares to a five year stretch of deleveraging in the 1930s—followed of course by a second stint from 1937-39 in response to the Roosevelt administration’s premature return to “fiscal responsibility” in 1936.</w:t>
      </w:r>
    </w:p>
    <w:p w:rsidR="00866A50" w:rsidRDefault="00866A50" w:rsidP="00866A50">
      <w:pPr>
        <w:pStyle w:val="Caption"/>
        <w:keepNext/>
      </w:pPr>
      <w:bookmarkStart w:id="13" w:name="_Ref356897636"/>
      <w:r>
        <w:lastRenderedPageBreak/>
        <w:t xml:space="preserve">Figure </w:t>
      </w:r>
      <w:r w:rsidR="008506CF">
        <w:fldChar w:fldCharType="begin"/>
      </w:r>
      <w:r w:rsidR="008506CF">
        <w:instrText xml:space="preserve"> SEQ Figure \* ARABIC </w:instrText>
      </w:r>
      <w:r w:rsidR="008506CF">
        <w:fldChar w:fldCharType="separate"/>
      </w:r>
      <w:r w:rsidR="00E27138">
        <w:rPr>
          <w:noProof/>
        </w:rPr>
        <w:t>12</w:t>
      </w:r>
      <w:r w:rsidR="008506CF">
        <w:rPr>
          <w:noProof/>
        </w:rPr>
        <w:fldChar w:fldCharType="end"/>
      </w:r>
      <w:bookmarkEnd w:id="13"/>
      <w:r>
        <w:t>: Much faster &amp; stronger government response in Great Recession than Great Depression</w:t>
      </w:r>
    </w:p>
    <w:p w:rsidR="00866A50" w:rsidRDefault="00866A50" w:rsidP="007E1F0F">
      <w:r w:rsidRPr="00866A50">
        <w:rPr>
          <w:rFonts w:ascii="Arial" w:hAnsi="Arial" w:cs="Arial"/>
          <w:noProof/>
          <w:position w:val="-500"/>
          <w:sz w:val="20"/>
          <w:szCs w:val="20"/>
          <w:lang w:val="en-AU" w:eastAsia="en-AU"/>
        </w:rPr>
        <w:drawing>
          <wp:inline distT="0" distB="0" distL="0" distR="0" wp14:anchorId="10B0BFBB" wp14:editId="67B82E2A">
            <wp:extent cx="4629150" cy="3181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29150" cy="3181350"/>
                    </a:xfrm>
                    <a:prstGeom prst="rect">
                      <a:avLst/>
                    </a:prstGeom>
                    <a:noFill/>
                    <a:ln>
                      <a:noFill/>
                    </a:ln>
                  </pic:spPr>
                </pic:pic>
              </a:graphicData>
            </a:graphic>
          </wp:inline>
        </w:drawing>
      </w:r>
    </w:p>
    <w:p w:rsidR="00113FF5" w:rsidRDefault="00113FF5" w:rsidP="007E1F0F">
      <w:r>
        <w:t xml:space="preserve">The crisis is not over however—and for the same reason that it wasn’t over in 1936, when Roosevelt made his ill-fated move towards austerity. Though the level of private debt has fallen, </w:t>
      </w:r>
      <w:r w:rsidR="00984460">
        <w:t xml:space="preserve">at over 250% of GDP, </w:t>
      </w:r>
      <w:r>
        <w:t>it is still far above the levels that are required for productive investment and necessary debt-financed consumption (see</w:t>
      </w:r>
      <w:r w:rsidR="00984460">
        <w:t xml:space="preserve"> </w:t>
      </w:r>
      <w:r w:rsidR="00984460">
        <w:fldChar w:fldCharType="begin"/>
      </w:r>
      <w:r w:rsidR="00984460">
        <w:instrText xml:space="preserve"> REF _Ref356985978 \h </w:instrText>
      </w:r>
      <w:r w:rsidR="00984460">
        <w:fldChar w:fldCharType="separate"/>
      </w:r>
      <w:r w:rsidR="00E27138">
        <w:t xml:space="preserve">Figure </w:t>
      </w:r>
      <w:r w:rsidR="00E27138">
        <w:rPr>
          <w:noProof/>
        </w:rPr>
        <w:t>13</w:t>
      </w:r>
      <w:r w:rsidR="00984460">
        <w:fldChar w:fldCharType="end"/>
      </w:r>
      <w:r>
        <w:t xml:space="preserve">). The crisis will only truly be over when the private debt to GDP ratio is back down below 100%, and preferably </w:t>
      </w:r>
      <w:r w:rsidR="008D7B8C">
        <w:t>in the range of 60-</w:t>
      </w:r>
      <w:r>
        <w:t xml:space="preserve">75% </w:t>
      </w:r>
      <w:r w:rsidR="00984460">
        <w:t>of the 1950s-60s</w:t>
      </w:r>
      <w:r>
        <w:t xml:space="preserve"> when</w:t>
      </w:r>
      <w:r w:rsidR="00981964">
        <w:t xml:space="preserve"> Hyman</w:t>
      </w:r>
      <w:r>
        <w:t xml:space="preserve"> Minsky </w:t>
      </w:r>
      <w:r w:rsidR="008D7B8C">
        <w:t xml:space="preserve">rightly regarded the USA as </w:t>
      </w:r>
      <w:r>
        <w:t xml:space="preserve">a financially robust </w:t>
      </w:r>
      <w:r w:rsidR="008D7B8C">
        <w:t xml:space="preserve">society, rather than the </w:t>
      </w:r>
      <w:r>
        <w:t>financially fragile society</w:t>
      </w:r>
      <w:r w:rsidR="008D7B8C">
        <w:t xml:space="preserve"> it has </w:t>
      </w:r>
      <w:r w:rsidR="00981964">
        <w:t xml:space="preserve">since </w:t>
      </w:r>
      <w:r w:rsidR="008D7B8C">
        <w:t>become</w:t>
      </w:r>
      <w:r>
        <w:t>.</w:t>
      </w:r>
    </w:p>
    <w:p w:rsidR="008D7B8C" w:rsidRDefault="008D7B8C" w:rsidP="008D7B8C">
      <w:pPr>
        <w:pStyle w:val="Caption"/>
        <w:keepNext/>
      </w:pPr>
      <w:bookmarkStart w:id="14" w:name="_Ref356985978"/>
      <w:bookmarkStart w:id="15" w:name="_Ref356985963"/>
      <w:r>
        <w:lastRenderedPageBreak/>
        <w:t xml:space="preserve">Figure </w:t>
      </w:r>
      <w:r w:rsidR="008506CF">
        <w:fldChar w:fldCharType="begin"/>
      </w:r>
      <w:r w:rsidR="008506CF">
        <w:instrText xml:space="preserve"> SEQ Figure \* ARABIC </w:instrText>
      </w:r>
      <w:r w:rsidR="008506CF">
        <w:fldChar w:fldCharType="separate"/>
      </w:r>
      <w:r w:rsidR="00E27138">
        <w:rPr>
          <w:noProof/>
        </w:rPr>
        <w:t>13</w:t>
      </w:r>
      <w:r w:rsidR="008506CF">
        <w:rPr>
          <w:noProof/>
        </w:rPr>
        <w:fldChar w:fldCharType="end"/>
      </w:r>
      <w:bookmarkEnd w:id="14"/>
      <w:r>
        <w:t>: Private and government debt since 1920</w:t>
      </w:r>
      <w:bookmarkEnd w:id="15"/>
      <w:r>
        <w:tab/>
      </w:r>
    </w:p>
    <w:p w:rsidR="008D7B8C" w:rsidRDefault="008D7B8C" w:rsidP="007E1F0F">
      <w:r w:rsidRPr="008D7B8C">
        <w:rPr>
          <w:rFonts w:ascii="Arial" w:hAnsi="Arial" w:cs="Arial"/>
          <w:noProof/>
          <w:position w:val="-488"/>
          <w:sz w:val="20"/>
          <w:szCs w:val="20"/>
          <w:lang w:val="en-AU" w:eastAsia="en-AU"/>
        </w:rPr>
        <w:drawing>
          <wp:inline distT="0" distB="0" distL="0" distR="0" wp14:anchorId="19BF9794" wp14:editId="6626BBDD">
            <wp:extent cx="3819525" cy="3105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19525" cy="3105150"/>
                    </a:xfrm>
                    <a:prstGeom prst="rect">
                      <a:avLst/>
                    </a:prstGeom>
                    <a:noFill/>
                    <a:ln>
                      <a:noFill/>
                    </a:ln>
                  </pic:spPr>
                </pic:pic>
              </a:graphicData>
            </a:graphic>
          </wp:inline>
        </w:drawing>
      </w:r>
    </w:p>
    <w:p w:rsidR="00DC58AE" w:rsidRDefault="00DC58AE" w:rsidP="00DC58AE">
      <w:pPr>
        <w:pStyle w:val="Heading1"/>
      </w:pPr>
      <w:r>
        <w:t>The debt effect on asset prices</w:t>
      </w:r>
    </w:p>
    <w:p w:rsidR="000646E5" w:rsidRDefault="005477E1" w:rsidP="007E1F0F">
      <w:r>
        <w:t>Misguided—</w:t>
      </w:r>
      <w:r w:rsidR="00747720">
        <w:t xml:space="preserve">or more to the point, </w:t>
      </w:r>
      <w:r w:rsidR="00660BDA">
        <w:t>Neoclassically-</w:t>
      </w:r>
      <w:r>
        <w:t>guided—Central Bank policy has attempted to revive the economy via a “wealth effect” from rising asset prices</w:t>
      </w:r>
      <w:r w:rsidR="00E8265E">
        <w:t xml:space="preserve"> </w:t>
      </w:r>
      <w:r w:rsidR="00E8265E">
        <w:fldChar w:fldCharType="begin"/>
      </w:r>
      <w:r w:rsidR="00E8265E">
        <w:instrText xml:space="preserve"> ADDIN EN.CITE &lt;EndNote&gt;&lt;Cite&gt;&lt;Author&gt;Greenspan&lt;/Author&gt;&lt;Year&gt;2013&lt;/Year&gt;&lt;RecNum&gt;4630&lt;/RecNum&gt;&lt;DisplayText&gt;(Greenspan 2013)&lt;/DisplayText&gt;&lt;record&gt;&lt;rec-number&gt;4630&lt;/rec-number&gt;&lt;foreign-keys&gt;&lt;key app="EN" db-id="avereev0mavvele2e0pvtaw6xzxpwd0tpdv5"&gt;4630&lt;/key&gt;&lt;/foreign-keys&gt;&lt;ref-type name="Blog"&gt;56&lt;/ref-type&gt;&lt;contributors&gt;&lt;authors&gt;&lt;author&gt;Greenspan, Alan&lt;/author&gt;&lt;/authors&gt;&lt;secondary-authors&gt;&lt;author&gt;Durden, Tyler&lt;/author&gt;&lt;/secondary-authors&gt;&lt;/contributors&gt;&lt;titles&gt;&lt;title&gt;Greenspan: Ignore The Economy, &amp;quot;Only The Stock Market Matters&amp;quot;&lt;/title&gt;&lt;secondary-title&gt;Zerohedge&lt;/secondary-title&gt;&lt;/titles&gt;&lt;number&gt;February 15, 2013&lt;/number&gt;&lt;dates&gt;&lt;year&gt;2013&lt;/year&gt;&lt;/dates&gt;&lt;pub-location&gt;New York&lt;/pub-location&gt;&lt;publisher&gt;Tyler Durden&lt;/publisher&gt;&lt;urls&gt;&lt;related-urls&gt;&lt;url&gt;http://www.zerohedge.com/news/2013-02-15/greenspan-ignore-economy-only-stock-market-matters&lt;/url&gt;&lt;/related-urls&gt;&lt;/urls&gt;&lt;/record&gt;&lt;/Cite&gt;&lt;/EndNote&gt;</w:instrText>
      </w:r>
      <w:r w:rsidR="00E8265E">
        <w:fldChar w:fldCharType="separate"/>
      </w:r>
      <w:r w:rsidR="00E8265E">
        <w:rPr>
          <w:noProof/>
        </w:rPr>
        <w:t>(</w:t>
      </w:r>
      <w:hyperlink w:anchor="_ENREF_11" w:tooltip="Greenspan, 2013 #4630" w:history="1">
        <w:r w:rsidR="00DD06E2">
          <w:rPr>
            <w:noProof/>
          </w:rPr>
          <w:t>Greenspan 2013</w:t>
        </w:r>
      </w:hyperlink>
      <w:r w:rsidR="00E8265E">
        <w:rPr>
          <w:noProof/>
        </w:rPr>
        <w:t>)</w:t>
      </w:r>
      <w:r w:rsidR="00E8265E">
        <w:fldChar w:fldCharType="end"/>
      </w:r>
      <w:r>
        <w:t>, when rising asset prices fuelled by a debt-financed speculative bubble was the primary cause of the crisis in the first place.</w:t>
      </w:r>
      <w:r w:rsidR="00DC58AE">
        <w:t xml:space="preserve"> </w:t>
      </w:r>
      <w:r w:rsidR="000646E5">
        <w:t xml:space="preserve">The defining feature of the Greenspan era has </w:t>
      </w:r>
      <w:r w:rsidR="00DC58AE">
        <w:t xml:space="preserve">therefore </w:t>
      </w:r>
      <w:r w:rsidR="000646E5">
        <w:t xml:space="preserve">been the increase in debt taken on for speculative reasons and the concomitant increase in asset prices. </w:t>
      </w:r>
    </w:p>
    <w:p w:rsidR="002003D6" w:rsidRDefault="00984460" w:rsidP="007E1F0F">
      <w:r>
        <w:t>Asset prices have clearly risen—most notably share prices—</w:t>
      </w:r>
      <w:r w:rsidR="00D20E31">
        <w:t>driven by</w:t>
      </w:r>
      <w:r>
        <w:t xml:space="preserve"> rising levels of speculative debt.</w:t>
      </w:r>
      <w:r w:rsidR="00D20E31">
        <w:t xml:space="preserve"> The increase in margin debt (measured as a percentage of GDP) has been striking since 1992, and so has its lock-step relationship with the </w:t>
      </w:r>
      <w:proofErr w:type="spellStart"/>
      <w:r w:rsidR="00D20E31">
        <w:t>sharemarket</w:t>
      </w:r>
      <w:proofErr w:type="spellEnd"/>
      <w:r w:rsidR="00D20E31">
        <w:t xml:space="preserve"> index (see </w:t>
      </w:r>
      <w:r w:rsidR="00D20E31">
        <w:fldChar w:fldCharType="begin"/>
      </w:r>
      <w:r w:rsidR="00D20E31">
        <w:instrText xml:space="preserve"> REF _Ref356986093 \h </w:instrText>
      </w:r>
      <w:r w:rsidR="00D20E31">
        <w:fldChar w:fldCharType="separate"/>
      </w:r>
      <w:r w:rsidR="00E27138">
        <w:t xml:space="preserve">Figure </w:t>
      </w:r>
      <w:r w:rsidR="00E27138">
        <w:rPr>
          <w:noProof/>
        </w:rPr>
        <w:t>14</w:t>
      </w:r>
      <w:r w:rsidR="00D20E31">
        <w:fldChar w:fldCharType="end"/>
      </w:r>
      <w:r w:rsidR="00D20E31">
        <w:t>).</w:t>
      </w:r>
    </w:p>
    <w:p w:rsidR="00712ED5" w:rsidRDefault="00712ED5" w:rsidP="00712ED5">
      <w:pPr>
        <w:pStyle w:val="Caption"/>
        <w:keepNext/>
      </w:pPr>
      <w:bookmarkStart w:id="16" w:name="_Ref356986093"/>
      <w:r>
        <w:lastRenderedPageBreak/>
        <w:t xml:space="preserve">Figure </w:t>
      </w:r>
      <w:r w:rsidR="008506CF">
        <w:fldChar w:fldCharType="begin"/>
      </w:r>
      <w:r w:rsidR="008506CF">
        <w:instrText xml:space="preserve"> SEQ Figure \* ARABIC </w:instrText>
      </w:r>
      <w:r w:rsidR="008506CF">
        <w:fldChar w:fldCharType="separate"/>
      </w:r>
      <w:r w:rsidR="00E27138">
        <w:rPr>
          <w:noProof/>
        </w:rPr>
        <w:t>14</w:t>
      </w:r>
      <w:r w:rsidR="008506CF">
        <w:rPr>
          <w:noProof/>
        </w:rPr>
        <w:fldChar w:fldCharType="end"/>
      </w:r>
      <w:bookmarkEnd w:id="16"/>
      <w:r>
        <w:t>: CPI-deflated share index and margin debt</w:t>
      </w:r>
    </w:p>
    <w:p w:rsidR="00712ED5" w:rsidRDefault="007A767A" w:rsidP="007E1F0F">
      <w:r w:rsidRPr="007A767A">
        <w:rPr>
          <w:rFonts w:ascii="Arial" w:hAnsi="Arial" w:cs="Arial"/>
          <w:noProof/>
          <w:position w:val="-488"/>
          <w:sz w:val="20"/>
          <w:szCs w:val="20"/>
          <w:lang w:val="en-AU" w:eastAsia="en-AU"/>
        </w:rPr>
        <w:drawing>
          <wp:inline distT="0" distB="0" distL="0" distR="0" wp14:anchorId="67EA6183" wp14:editId="25ABDF65">
            <wp:extent cx="4286250" cy="3105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86250" cy="3105150"/>
                    </a:xfrm>
                    <a:prstGeom prst="rect">
                      <a:avLst/>
                    </a:prstGeom>
                    <a:noFill/>
                    <a:ln>
                      <a:noFill/>
                    </a:ln>
                  </pic:spPr>
                </pic:pic>
              </a:graphicData>
            </a:graphic>
          </wp:inline>
        </w:drawing>
      </w:r>
    </w:p>
    <w:p w:rsidR="00D20E31" w:rsidRDefault="00D20E31" w:rsidP="007E1F0F">
      <w:r>
        <w:t>The causal relationship however is between the acceleration of margin debt and change in stock prices.</w:t>
      </w:r>
      <w:r w:rsidR="00EF38D3">
        <w:t xml:space="preserve"> The correlation is 0.46</w:t>
      </w:r>
      <w:r>
        <w:t xml:space="preserve"> over the period 1961-2013 (see </w:t>
      </w:r>
      <w:r>
        <w:fldChar w:fldCharType="begin"/>
      </w:r>
      <w:r>
        <w:instrText xml:space="preserve"> REF _Ref357236249 \h </w:instrText>
      </w:r>
      <w:r>
        <w:fldChar w:fldCharType="separate"/>
      </w:r>
      <w:r w:rsidR="00E27138">
        <w:t xml:space="preserve">Figure </w:t>
      </w:r>
      <w:r w:rsidR="00E27138">
        <w:rPr>
          <w:noProof/>
        </w:rPr>
        <w:t>15</w:t>
      </w:r>
      <w:r>
        <w:fldChar w:fldCharType="end"/>
      </w:r>
      <w:r>
        <w:t>).</w:t>
      </w:r>
    </w:p>
    <w:p w:rsidR="00D20E31" w:rsidRDefault="00D20E31" w:rsidP="00D20E31">
      <w:pPr>
        <w:pStyle w:val="Caption"/>
        <w:keepNext/>
      </w:pPr>
      <w:bookmarkStart w:id="17" w:name="_Ref357236249"/>
      <w:r>
        <w:t xml:space="preserve">Figure </w:t>
      </w:r>
      <w:r w:rsidR="008506CF">
        <w:fldChar w:fldCharType="begin"/>
      </w:r>
      <w:r w:rsidR="008506CF">
        <w:instrText xml:space="preserve"> SEQ Figure \* ARABIC </w:instrText>
      </w:r>
      <w:r w:rsidR="008506CF">
        <w:fldChar w:fldCharType="separate"/>
      </w:r>
      <w:r w:rsidR="00E27138">
        <w:rPr>
          <w:noProof/>
        </w:rPr>
        <w:t>15</w:t>
      </w:r>
      <w:r w:rsidR="008506CF">
        <w:rPr>
          <w:noProof/>
        </w:rPr>
        <w:fldChar w:fldCharType="end"/>
      </w:r>
      <w:bookmarkEnd w:id="17"/>
      <w:r>
        <w:t>: Margin debt acceleration and change in CPI-deflated stock price index</w:t>
      </w:r>
    </w:p>
    <w:p w:rsidR="00D20E31" w:rsidRDefault="00657644" w:rsidP="007E1F0F">
      <w:r w:rsidRPr="00657644">
        <w:rPr>
          <w:rFonts w:ascii="Arial" w:hAnsi="Arial" w:cs="Arial"/>
          <w:noProof/>
          <w:position w:val="-488"/>
          <w:sz w:val="20"/>
          <w:szCs w:val="20"/>
          <w:lang w:val="en-AU" w:eastAsia="en-AU"/>
        </w:rPr>
        <w:drawing>
          <wp:inline distT="0" distB="0" distL="0" distR="0" wp14:anchorId="6074ACE2" wp14:editId="77193F67">
            <wp:extent cx="4605655" cy="3100070"/>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05655" cy="3100070"/>
                    </a:xfrm>
                    <a:prstGeom prst="rect">
                      <a:avLst/>
                    </a:prstGeom>
                    <a:noFill/>
                    <a:ln>
                      <a:noFill/>
                    </a:ln>
                  </pic:spPr>
                </pic:pic>
              </a:graphicData>
            </a:graphic>
          </wp:inline>
        </w:drawing>
      </w:r>
    </w:p>
    <w:p w:rsidR="00D20E31" w:rsidRDefault="00D20E31" w:rsidP="007E1F0F">
      <w:r>
        <w:t>The same dynamic is manifested by real house prices and mortgage debt. The Subprime Bubble in real house prices paralleled a rise in mortgage debt to unprecedented levels (see</w:t>
      </w:r>
      <w:r w:rsidR="0071306A">
        <w:t xml:space="preserve"> </w:t>
      </w:r>
      <w:r>
        <w:fldChar w:fldCharType="begin"/>
      </w:r>
      <w:r>
        <w:instrText xml:space="preserve"> REF _Ref357236431 \h </w:instrText>
      </w:r>
      <w:r>
        <w:fldChar w:fldCharType="separate"/>
      </w:r>
      <w:r w:rsidR="00E27138">
        <w:t xml:space="preserve">Figure </w:t>
      </w:r>
      <w:r w:rsidR="00E27138">
        <w:rPr>
          <w:noProof/>
        </w:rPr>
        <w:t>16</w:t>
      </w:r>
      <w:r>
        <w:fldChar w:fldCharType="end"/>
      </w:r>
      <w:r>
        <w:t>).</w:t>
      </w:r>
    </w:p>
    <w:p w:rsidR="00D20E31" w:rsidRDefault="00D20E31" w:rsidP="00D20E31">
      <w:pPr>
        <w:pStyle w:val="Caption"/>
        <w:keepNext/>
      </w:pPr>
      <w:bookmarkStart w:id="18" w:name="_Ref357236431"/>
      <w:r>
        <w:lastRenderedPageBreak/>
        <w:t xml:space="preserve">Figure </w:t>
      </w:r>
      <w:r w:rsidR="008506CF">
        <w:fldChar w:fldCharType="begin"/>
      </w:r>
      <w:r w:rsidR="008506CF">
        <w:instrText xml:space="preserve"> SEQ Figure \* ARABIC </w:instrText>
      </w:r>
      <w:r w:rsidR="008506CF">
        <w:fldChar w:fldCharType="separate"/>
      </w:r>
      <w:r w:rsidR="00E27138">
        <w:rPr>
          <w:noProof/>
        </w:rPr>
        <w:t>16</w:t>
      </w:r>
      <w:r w:rsidR="008506CF">
        <w:rPr>
          <w:noProof/>
        </w:rPr>
        <w:fldChar w:fldCharType="end"/>
      </w:r>
      <w:bookmarkEnd w:id="18"/>
      <w:r>
        <w:t>: CPI-deflated house price index and mortgage debt</w:t>
      </w:r>
    </w:p>
    <w:p w:rsidR="00D20E31" w:rsidRDefault="00D20E31" w:rsidP="00D20E31">
      <w:r w:rsidRPr="007A767A">
        <w:rPr>
          <w:rFonts w:ascii="Arial" w:hAnsi="Arial" w:cs="Arial"/>
          <w:noProof/>
          <w:position w:val="-488"/>
          <w:sz w:val="20"/>
          <w:szCs w:val="20"/>
          <w:lang w:val="en-AU" w:eastAsia="en-AU"/>
        </w:rPr>
        <w:drawing>
          <wp:inline distT="0" distB="0" distL="0" distR="0" wp14:anchorId="02A32DCC" wp14:editId="49209C69">
            <wp:extent cx="4200525" cy="3105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00525" cy="3105150"/>
                    </a:xfrm>
                    <a:prstGeom prst="rect">
                      <a:avLst/>
                    </a:prstGeom>
                    <a:noFill/>
                    <a:ln>
                      <a:noFill/>
                    </a:ln>
                  </pic:spPr>
                </pic:pic>
              </a:graphicData>
            </a:graphic>
          </wp:inline>
        </w:drawing>
      </w:r>
    </w:p>
    <w:p w:rsidR="00D20E31" w:rsidRDefault="00D20E31" w:rsidP="007E1F0F">
      <w:r>
        <w:t xml:space="preserve">The causal link was again between debt acceleration and change in house prices, where the correlation over the period 1960-2013 was 0.75 (see </w:t>
      </w:r>
      <w:r>
        <w:fldChar w:fldCharType="begin"/>
      </w:r>
      <w:r>
        <w:instrText xml:space="preserve"> REF _Ref357236623 \h </w:instrText>
      </w:r>
      <w:r>
        <w:fldChar w:fldCharType="separate"/>
      </w:r>
      <w:r w:rsidR="00E27138">
        <w:t xml:space="preserve">Figure </w:t>
      </w:r>
      <w:r w:rsidR="00E27138">
        <w:rPr>
          <w:noProof/>
        </w:rPr>
        <w:t>17</w:t>
      </w:r>
      <w:r>
        <w:fldChar w:fldCharType="end"/>
      </w:r>
      <w:r>
        <w:t>).</w:t>
      </w:r>
    </w:p>
    <w:p w:rsidR="00D20E31" w:rsidRDefault="00D20E31" w:rsidP="00D20E31">
      <w:pPr>
        <w:pStyle w:val="Caption"/>
        <w:keepNext/>
      </w:pPr>
      <w:bookmarkStart w:id="19" w:name="_Ref357236623"/>
      <w:r>
        <w:t xml:space="preserve">Figure </w:t>
      </w:r>
      <w:r w:rsidR="008506CF">
        <w:fldChar w:fldCharType="begin"/>
      </w:r>
      <w:r w:rsidR="008506CF">
        <w:instrText xml:space="preserve"> SEQ Figure \* ARABIC </w:instrText>
      </w:r>
      <w:r w:rsidR="008506CF">
        <w:fldChar w:fldCharType="separate"/>
      </w:r>
      <w:r w:rsidR="00E27138">
        <w:rPr>
          <w:noProof/>
        </w:rPr>
        <w:t>17</w:t>
      </w:r>
      <w:r w:rsidR="008506CF">
        <w:rPr>
          <w:noProof/>
        </w:rPr>
        <w:fldChar w:fldCharType="end"/>
      </w:r>
      <w:bookmarkEnd w:id="19"/>
      <w:r>
        <w:t>: Mortgage debt acceleration and change in CPI-deflated house price index</w:t>
      </w:r>
    </w:p>
    <w:p w:rsidR="00D20E31" w:rsidRDefault="00D3690D" w:rsidP="007E1F0F">
      <w:r w:rsidRPr="00D3690D">
        <w:rPr>
          <w:rFonts w:ascii="Arial" w:hAnsi="Arial" w:cs="Arial"/>
          <w:noProof/>
          <w:position w:val="-512"/>
          <w:sz w:val="20"/>
          <w:szCs w:val="20"/>
          <w:lang w:val="en-AU" w:eastAsia="en-AU"/>
        </w:rPr>
        <w:drawing>
          <wp:inline distT="0" distB="0" distL="0" distR="0" wp14:anchorId="68B8D295" wp14:editId="15738DB3">
            <wp:extent cx="4995545" cy="325628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95545" cy="3256280"/>
                    </a:xfrm>
                    <a:prstGeom prst="rect">
                      <a:avLst/>
                    </a:prstGeom>
                    <a:noFill/>
                    <a:ln>
                      <a:noFill/>
                    </a:ln>
                  </pic:spPr>
                </pic:pic>
              </a:graphicData>
            </a:graphic>
          </wp:inline>
        </w:drawing>
      </w:r>
    </w:p>
    <w:p w:rsidR="00EE4134" w:rsidRDefault="00EE4134" w:rsidP="00EE4134">
      <w:pPr>
        <w:pStyle w:val="Heading1"/>
      </w:pPr>
      <w:r>
        <w:lastRenderedPageBreak/>
        <w:t>Future prospects</w:t>
      </w:r>
    </w:p>
    <w:p w:rsidR="00E05335" w:rsidRPr="00E05335" w:rsidRDefault="00E05335" w:rsidP="00E05335">
      <w:r>
        <w:t>Since it is the acceleration of debt rather than its level or rate of change that affects asset market price change—and since there are obvious positive feedbacks between the rate of change of asset prices and the willingness of the public to take on debt—a revival in asset prices can occur even when debt levels are falling. This in turn can lead to rising debt once more—as is occurring already with margin debt (though not yet with mortgage debt), yet another Ponzi recovery could occur, even after the Great Recession.</w:t>
      </w:r>
    </w:p>
    <w:p w:rsidR="00E05335" w:rsidRDefault="00E05335" w:rsidP="00E05335">
      <w:pPr>
        <w:pStyle w:val="Caption"/>
        <w:keepNext/>
      </w:pPr>
      <w:r>
        <w:t xml:space="preserve">Figure </w:t>
      </w:r>
      <w:r w:rsidR="008506CF">
        <w:fldChar w:fldCharType="begin"/>
      </w:r>
      <w:r w:rsidR="008506CF">
        <w:instrText xml:space="preserve"> SEQ Figure \* ARABIC </w:instrText>
      </w:r>
      <w:r w:rsidR="008506CF">
        <w:fldChar w:fldCharType="separate"/>
      </w:r>
      <w:r w:rsidR="00E27138">
        <w:rPr>
          <w:noProof/>
        </w:rPr>
        <w:t>18</w:t>
      </w:r>
      <w:r w:rsidR="008506CF">
        <w:rPr>
          <w:noProof/>
        </w:rPr>
        <w:fldChar w:fldCharType="end"/>
      </w:r>
      <w:r>
        <w:t>: Level, rate of change and acceleration of margin debt</w:t>
      </w:r>
    </w:p>
    <w:p w:rsidR="00F930D3" w:rsidRDefault="00F930D3" w:rsidP="007E1F0F">
      <w:r w:rsidRPr="00F930D3">
        <w:rPr>
          <w:rFonts w:ascii="Arial" w:hAnsi="Arial" w:cs="Arial"/>
          <w:noProof/>
          <w:position w:val="-522"/>
          <w:sz w:val="20"/>
          <w:szCs w:val="20"/>
          <w:lang w:val="en-AU" w:eastAsia="en-AU"/>
        </w:rPr>
        <w:drawing>
          <wp:inline distT="0" distB="0" distL="0" distR="0" wp14:anchorId="5FEE73FF" wp14:editId="59E4F466">
            <wp:extent cx="4629150" cy="3314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29150" cy="3314700"/>
                    </a:xfrm>
                    <a:prstGeom prst="rect">
                      <a:avLst/>
                    </a:prstGeom>
                    <a:noFill/>
                    <a:ln>
                      <a:noFill/>
                    </a:ln>
                  </pic:spPr>
                </pic:pic>
              </a:graphicData>
            </a:graphic>
          </wp:inline>
        </w:drawing>
      </w:r>
    </w:p>
    <w:p w:rsidR="00113FF5" w:rsidRDefault="00E05335" w:rsidP="007E1F0F">
      <w:r>
        <w:t>However t</w:t>
      </w:r>
      <w:r w:rsidR="00113FF5">
        <w:t xml:space="preserve">he potential upside </w:t>
      </w:r>
      <w:r>
        <w:t xml:space="preserve">is limited, </w:t>
      </w:r>
      <w:r w:rsidR="00F930D3">
        <w:t>compared to previous bubbles</w:t>
      </w:r>
      <w:r>
        <w:t>,</w:t>
      </w:r>
      <w:r w:rsidR="00F930D3">
        <w:t xml:space="preserve"> by the sheer level of accumulated debt.</w:t>
      </w:r>
      <w:r>
        <w:t xml:space="preserve"> I therefore expect any asset-price-bubble-led recovery to run out of steam much faster than occurred with the Dotcom and Subprime bubbles.</w:t>
      </w:r>
    </w:p>
    <w:p w:rsidR="00E05335" w:rsidRDefault="00E05335" w:rsidP="00E05335">
      <w:pPr>
        <w:pStyle w:val="Caption"/>
        <w:keepNext/>
      </w:pPr>
      <w:r>
        <w:lastRenderedPageBreak/>
        <w:t xml:space="preserve">Figure </w:t>
      </w:r>
      <w:r w:rsidR="008506CF">
        <w:fldChar w:fldCharType="begin"/>
      </w:r>
      <w:r w:rsidR="008506CF">
        <w:instrText xml:space="preserve"> SEQ Figure \* ARABIC </w:instrText>
      </w:r>
      <w:r w:rsidR="008506CF">
        <w:fldChar w:fldCharType="separate"/>
      </w:r>
      <w:r w:rsidR="00E27138">
        <w:rPr>
          <w:noProof/>
        </w:rPr>
        <w:t>19</w:t>
      </w:r>
      <w:r w:rsidR="008506CF">
        <w:rPr>
          <w:noProof/>
        </w:rPr>
        <w:fldChar w:fldCharType="end"/>
      </w:r>
      <w:r w:rsidRPr="00F75DCD">
        <w:t xml:space="preserve">: </w:t>
      </w:r>
      <w:r>
        <w:t>A</w:t>
      </w:r>
      <w:r w:rsidRPr="00F75DCD">
        <w:t xml:space="preserve">cceleration of </w:t>
      </w:r>
      <w:r>
        <w:t xml:space="preserve">margin </w:t>
      </w:r>
      <w:r w:rsidRPr="00F75DCD">
        <w:t>debt</w:t>
      </w:r>
      <w:r>
        <w:rPr>
          <w:noProof/>
        </w:rPr>
        <w:t xml:space="preserve"> and stockmarket index change since 2007</w:t>
      </w:r>
    </w:p>
    <w:p w:rsidR="00F930D3" w:rsidRDefault="00F930D3" w:rsidP="007E1F0F">
      <w:r w:rsidRPr="00F930D3">
        <w:rPr>
          <w:rFonts w:ascii="Arial" w:hAnsi="Arial" w:cs="Arial"/>
          <w:noProof/>
          <w:position w:val="-488"/>
          <w:sz w:val="20"/>
          <w:szCs w:val="20"/>
          <w:lang w:val="en-AU" w:eastAsia="en-AU"/>
        </w:rPr>
        <w:drawing>
          <wp:inline distT="0" distB="0" distL="0" distR="0" wp14:anchorId="24DB43E6" wp14:editId="0AC8961D">
            <wp:extent cx="5467350" cy="31051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67350" cy="3105150"/>
                    </a:xfrm>
                    <a:prstGeom prst="rect">
                      <a:avLst/>
                    </a:prstGeom>
                    <a:noFill/>
                    <a:ln>
                      <a:noFill/>
                    </a:ln>
                  </pic:spPr>
                </pic:pic>
              </a:graphicData>
            </a:graphic>
          </wp:inline>
        </w:drawing>
      </w:r>
    </w:p>
    <w:p w:rsidR="00984460" w:rsidRDefault="00E05335" w:rsidP="00984460">
      <w:r>
        <w:t xml:space="preserve">This appears evident already in the mortgage debt acceleration data, even though the level of mortgage debt has fallen 18 percent below the peak reached in mid-2009 (see </w:t>
      </w:r>
      <w:r>
        <w:fldChar w:fldCharType="begin"/>
      </w:r>
      <w:r>
        <w:instrText xml:space="preserve"> REF _Ref357306072 \h </w:instrText>
      </w:r>
      <w:r>
        <w:fldChar w:fldCharType="separate"/>
      </w:r>
      <w:r w:rsidR="00E27138">
        <w:t xml:space="preserve">Figure </w:t>
      </w:r>
      <w:r w:rsidR="00E27138">
        <w:rPr>
          <w:noProof/>
        </w:rPr>
        <w:t>20</w:t>
      </w:r>
      <w:r>
        <w:fldChar w:fldCharType="end"/>
      </w:r>
      <w:r>
        <w:t>).</w:t>
      </w:r>
    </w:p>
    <w:p w:rsidR="00E05335" w:rsidRDefault="00E05335" w:rsidP="00E05335">
      <w:pPr>
        <w:pStyle w:val="Caption"/>
        <w:keepNext/>
      </w:pPr>
      <w:bookmarkStart w:id="20" w:name="_Ref357306072"/>
      <w:r>
        <w:t xml:space="preserve">Figure </w:t>
      </w:r>
      <w:r w:rsidR="008506CF">
        <w:fldChar w:fldCharType="begin"/>
      </w:r>
      <w:r w:rsidR="008506CF">
        <w:instrText xml:space="preserve"> SEQ Figure \* ARABIC </w:instrText>
      </w:r>
      <w:r w:rsidR="008506CF">
        <w:fldChar w:fldCharType="separate"/>
      </w:r>
      <w:r w:rsidR="00E27138">
        <w:rPr>
          <w:noProof/>
        </w:rPr>
        <w:t>20</w:t>
      </w:r>
      <w:r w:rsidR="008506CF">
        <w:rPr>
          <w:noProof/>
        </w:rPr>
        <w:fldChar w:fldCharType="end"/>
      </w:r>
      <w:bookmarkEnd w:id="20"/>
      <w:r w:rsidRPr="00FF1E4E">
        <w:t xml:space="preserve">: Level, rate of change and acceleration of </w:t>
      </w:r>
      <w:r>
        <w:t>mortgage</w:t>
      </w:r>
      <w:r w:rsidRPr="00FF1E4E">
        <w:t xml:space="preserve"> debt</w:t>
      </w:r>
    </w:p>
    <w:p w:rsidR="00CD3D7F" w:rsidRDefault="00CD3D7F" w:rsidP="007E1F0F">
      <w:r w:rsidRPr="00CD3D7F">
        <w:rPr>
          <w:rFonts w:ascii="Arial" w:hAnsi="Arial" w:cs="Arial"/>
          <w:noProof/>
          <w:position w:val="-488"/>
          <w:sz w:val="20"/>
          <w:szCs w:val="20"/>
          <w:lang w:val="en-AU" w:eastAsia="en-AU"/>
        </w:rPr>
        <w:drawing>
          <wp:inline distT="0" distB="0" distL="0" distR="0" wp14:anchorId="63FE238D" wp14:editId="27A6CADD">
            <wp:extent cx="3943350" cy="31051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43350" cy="3105150"/>
                    </a:xfrm>
                    <a:prstGeom prst="rect">
                      <a:avLst/>
                    </a:prstGeom>
                    <a:noFill/>
                    <a:ln>
                      <a:noFill/>
                    </a:ln>
                  </pic:spPr>
                </pic:pic>
              </a:graphicData>
            </a:graphic>
          </wp:inline>
        </w:drawing>
      </w:r>
    </w:p>
    <w:p w:rsidR="00E05335" w:rsidRDefault="00E05335" w:rsidP="00E05335">
      <w:pPr>
        <w:pStyle w:val="Caption"/>
        <w:keepNext/>
      </w:pPr>
      <w:r>
        <w:lastRenderedPageBreak/>
        <w:t xml:space="preserve">Figure </w:t>
      </w:r>
      <w:r w:rsidR="008506CF">
        <w:fldChar w:fldCharType="begin"/>
      </w:r>
      <w:r w:rsidR="008506CF">
        <w:instrText xml:space="preserve"> SEQ Figure \* ARABIC </w:instrText>
      </w:r>
      <w:r w:rsidR="008506CF">
        <w:fldChar w:fldCharType="separate"/>
      </w:r>
      <w:r w:rsidR="00E27138">
        <w:rPr>
          <w:noProof/>
        </w:rPr>
        <w:t>21</w:t>
      </w:r>
      <w:r w:rsidR="008506CF">
        <w:rPr>
          <w:noProof/>
        </w:rPr>
        <w:fldChar w:fldCharType="end"/>
      </w:r>
      <w:r w:rsidRPr="004D6D57">
        <w:t>: Acceleration of m</w:t>
      </w:r>
      <w:r>
        <w:t>ortgage</w:t>
      </w:r>
      <w:r w:rsidRPr="004D6D57">
        <w:t xml:space="preserve"> debt and </w:t>
      </w:r>
      <w:r>
        <w:t>house price</w:t>
      </w:r>
      <w:r w:rsidRPr="004D6D57">
        <w:t xml:space="preserve"> index change since 2007</w:t>
      </w:r>
    </w:p>
    <w:p w:rsidR="00CD3D7F" w:rsidRDefault="00D3690D" w:rsidP="007E1F0F">
      <w:r w:rsidRPr="00D3690D">
        <w:rPr>
          <w:rFonts w:ascii="Arial" w:hAnsi="Arial" w:cs="Arial"/>
          <w:noProof/>
          <w:position w:val="-512"/>
          <w:sz w:val="20"/>
          <w:szCs w:val="20"/>
          <w:lang w:val="en-AU" w:eastAsia="en-AU"/>
        </w:rPr>
        <w:drawing>
          <wp:inline distT="0" distB="0" distL="0" distR="0" wp14:anchorId="0BC3F078" wp14:editId="76ECEC41">
            <wp:extent cx="4995545" cy="3256280"/>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95545" cy="3256280"/>
                    </a:xfrm>
                    <a:prstGeom prst="rect">
                      <a:avLst/>
                    </a:prstGeom>
                    <a:noFill/>
                    <a:ln>
                      <a:noFill/>
                    </a:ln>
                  </pic:spPr>
                </pic:pic>
              </a:graphicData>
            </a:graphic>
          </wp:inline>
        </w:drawing>
      </w:r>
    </w:p>
    <w:p w:rsidR="00855848" w:rsidRDefault="00825071" w:rsidP="007E1F0F">
      <w:r>
        <w:t>The preceding makes the theoretical and empirical case for the necessity of a strictly monetary approach to macroeconomics. In the next section I present a stylized model of a pure private monetary production economy.</w:t>
      </w:r>
    </w:p>
    <w:p w:rsidR="00E81D04" w:rsidRDefault="00E81D04" w:rsidP="00B02622">
      <w:pPr>
        <w:pStyle w:val="Heading1"/>
      </w:pPr>
      <w:r>
        <w:t>A combined monetary-physical model</w:t>
      </w:r>
    </w:p>
    <w:p w:rsidR="00DD06E2" w:rsidRDefault="00DD06E2" w:rsidP="00DD06E2">
      <w:r>
        <w:t>My 1995 model of Minsky’</w:t>
      </w:r>
      <w:r w:rsidR="0096606F">
        <w:t>s</w:t>
      </w:r>
      <w:r>
        <w:t xml:space="preserve"> Financial Instability Hypothesis  </w:t>
      </w:r>
      <w:r>
        <w:fldChar w:fldCharType="begin"/>
      </w:r>
      <w:r>
        <w:instrText xml:space="preserve"> ADDIN EN.CITE &lt;EndNote&gt;&lt;Cite&gt;&lt;Author&gt;Keen&lt;/Author&gt;&lt;Year&gt;1995&lt;/Year&gt;&lt;RecNum&gt;132&lt;/RecNum&gt;&lt;DisplayText&gt;(Keen 1995)&lt;/DisplayText&gt;&lt;record&gt;&lt;rec-number&gt;132&lt;/rec-number&gt;&lt;foreign-keys&gt;&lt;key app="EN" db-id="avereev0mavvele2e0pvtaw6xzxpwd0tpdv5"&gt;132&lt;/key&gt;&lt;/foreign-keys&gt;&lt;ref-type name="Journal Article"&gt;17&lt;/ref-type&gt;&lt;contributors&gt;&lt;authors&gt;&lt;author&gt;Keen, Steve&lt;/author&gt;&lt;/authors&gt;&lt;/contributors&gt;&lt;auth-address&gt;U New S Wales&lt;/auth-address&gt;&lt;titles&gt;&lt;title&gt;Finance and Economic Breakdown: Modeling Minsky&amp;apos;s &amp;apos;Financial Instability Hypothesis.&amp;apos;&lt;/title&gt;&lt;secondary-title&gt;Journal of Post Keynesian Economics&lt;/secondary-title&gt;&lt;/titles&gt;&lt;periodical&gt;&lt;full-title&gt;Journal of Post Keynesian Economics&lt;/full-title&gt;&lt;/periodical&gt;&lt;pages&gt;607-635&lt;/pages&gt;&lt;volume&gt;17&lt;/volume&gt;&lt;number&gt;4&lt;/number&gt;&lt;keywords&gt;&lt;keyword&gt;Business Fluctuations&lt;/keyword&gt;&lt;keyword&gt;Cycles E320&lt;/keyword&gt;&lt;/keywords&gt;&lt;dates&gt;&lt;year&gt;1995&lt;/year&gt;&lt;pub-dates&gt;&lt;date&gt;Summer&lt;/date&gt;&lt;/pub-dates&gt;&lt;/dates&gt;&lt;isbn&gt;01603477&lt;/isbn&gt;&lt;urls&gt;&lt;related-urls&gt;&lt;url&gt;http://www.mesharpe.com/mall/results1.asp?ACR=PKE&lt;/url&gt;&lt;/related-urls&gt;&lt;/urls&gt;&lt;/record&gt;&lt;/Cite&gt;&lt;/EndNote&gt;</w:instrText>
      </w:r>
      <w:r>
        <w:fldChar w:fldCharType="separate"/>
      </w:r>
      <w:r>
        <w:rPr>
          <w:noProof/>
        </w:rPr>
        <w:t>(</w:t>
      </w:r>
      <w:hyperlink w:anchor="_ENREF_15" w:tooltip="Keen, 1995 #132" w:history="1">
        <w:r>
          <w:rPr>
            <w:noProof/>
          </w:rPr>
          <w:t>Keen 1995</w:t>
        </w:r>
      </w:hyperlink>
      <w:r>
        <w:rPr>
          <w:noProof/>
        </w:rPr>
        <w:t>)</w:t>
      </w:r>
      <w:r>
        <w:fldChar w:fldCharType="end"/>
      </w:r>
      <w:r>
        <w:t xml:space="preserve"> introduced debt into a Goodwin cyclical growth model </w:t>
      </w:r>
      <w:r>
        <w:fldChar w:fldCharType="begin"/>
      </w:r>
      <w:r>
        <w:instrText xml:space="preserve"> ADDIN EN.CITE &lt;EndNote&gt;&lt;Cite&gt;&lt;Author&gt;Goodwin&lt;/Author&gt;&lt;Year&gt;1967&lt;/Year&gt;&lt;RecNum&gt;279&lt;/RecNum&gt;&lt;DisplayText&gt;(Goodwin 1967)&lt;/DisplayText&gt;&lt;record&gt;&lt;rec-number&gt;279&lt;/rec-number&gt;&lt;foreign-keys&gt;&lt;key app="EN" db-id="avereev0mavvele2e0pvtaw6xzxpwd0tpdv5"&gt;279&lt;/key&gt;&lt;/foreign-keys&gt;&lt;ref-type name="Book Section"&gt;5&lt;/ref-type&gt;&lt;contributors&gt;&lt;authors&gt;&lt;author&gt;Goodwin, Richard M.&lt;/author&gt;&lt;/authors&gt;&lt;secondary-authors&gt;&lt;author&gt;C. H. Feinstein&lt;/author&gt;&lt;/secondary-authors&gt;&lt;/contributors&gt;&lt;titles&gt;&lt;title&gt;A growth cycle&lt;/title&gt;&lt;secondary-title&gt;Socialism, Capitalism and Economic Growth&lt;/secondary-title&gt;&lt;/titles&gt;&lt;pages&gt;54-58&lt;/pages&gt;&lt;dates&gt;&lt;year&gt;1967&lt;/year&gt;&lt;/dates&gt;&lt;pub-location&gt;Cambridge&lt;/pub-location&gt;&lt;publisher&gt;Cambridge University Press&lt;/publisher&gt;&lt;urls&gt;&lt;/urls&gt;&lt;/record&gt;&lt;/Cite&gt;&lt;/EndNote&gt;</w:instrText>
      </w:r>
      <w:r>
        <w:fldChar w:fldCharType="separate"/>
      </w:r>
      <w:r>
        <w:rPr>
          <w:noProof/>
        </w:rPr>
        <w:t>(</w:t>
      </w:r>
      <w:hyperlink w:anchor="_ENREF_9" w:tooltip="Goodwin, 1967 #279" w:history="1">
        <w:r>
          <w:rPr>
            <w:noProof/>
          </w:rPr>
          <w:t>Goodwin 1967</w:t>
        </w:r>
      </w:hyperlink>
      <w:r>
        <w:rPr>
          <w:noProof/>
        </w:rPr>
        <w:t>)</w:t>
      </w:r>
      <w:r>
        <w:fldChar w:fldCharType="end"/>
      </w:r>
      <w:r>
        <w:t xml:space="preserve">  but had no explicit treatment of money. It was therefore capable of capturing the debt component of a Fisherian debt-deflation </w:t>
      </w:r>
      <w:r>
        <w:fldChar w:fldCharType="begin"/>
      </w:r>
      <w:r>
        <w:instrText xml:space="preserve"> ADDIN EN.CITE &lt;EndNote&gt;&lt;Cite&gt;&lt;Author&gt;Fisher&lt;/Author&gt;&lt;Year&gt;1933&lt;/Year&gt;&lt;RecNum&gt;152&lt;/RecNum&gt;&lt;DisplayText&gt;(Fisher 1933)&lt;/DisplayText&gt;&lt;record&gt;&lt;rec-number&gt;152&lt;/rec-number&gt;&lt;foreign-keys&gt;&lt;key app="EN" db-id="avereev0mavvele2e0pvtaw6xzxpwd0tpdv5"&gt;152&lt;/key&gt;&lt;/foreign-keys&gt;&lt;ref-type name="Journal Article"&gt;17&lt;/ref-type&gt;&lt;contributors&gt;&lt;authors&gt;&lt;author&gt;Fisher, Irving&lt;/author&gt;&lt;/authors&gt;&lt;/contributors&gt;&lt;titles&gt;&lt;title&gt;The Debt-Deflation Theory of Great Depressions&lt;/title&gt;&lt;secondary-title&gt;Econometrica&lt;/secondary-title&gt;&lt;/titles&gt;&lt;periodical&gt;&lt;full-title&gt;Econometrica&lt;/full-title&gt;&lt;/periodical&gt;&lt;pages&gt;337-357&lt;/pages&gt;&lt;volume&gt;1&lt;/volume&gt;&lt;number&gt;4&lt;/number&gt;&lt;dates&gt;&lt;year&gt;1933&lt;/year&gt;&lt;/dates&gt;&lt;publisher&gt;The Econometric Society&lt;/publisher&gt;&lt;isbn&gt;00129682&lt;/isbn&gt;&lt;urls&gt;&lt;related-urls&gt;&lt;url&gt;http://www.jstor.org/stable/1907327&lt;/url&gt;&lt;/related-urls&gt;&lt;/urls&gt;&lt;/record&gt;&lt;/Cite&gt;&lt;/EndNote&gt;</w:instrText>
      </w:r>
      <w:r>
        <w:fldChar w:fldCharType="separate"/>
      </w:r>
      <w:r>
        <w:rPr>
          <w:noProof/>
        </w:rPr>
        <w:t>(</w:t>
      </w:r>
      <w:hyperlink w:anchor="_ENREF_7" w:tooltip="Fisher, 1933 #152" w:history="1">
        <w:r>
          <w:rPr>
            <w:noProof/>
          </w:rPr>
          <w:t>Fisher 1933</w:t>
        </w:r>
      </w:hyperlink>
      <w:r>
        <w:rPr>
          <w:noProof/>
        </w:rPr>
        <w:t>)</w:t>
      </w:r>
      <w:r>
        <w:fldChar w:fldCharType="end"/>
      </w:r>
      <w:r>
        <w:t>, but not the deflationary aspect.</w:t>
      </w:r>
    </w:p>
    <w:p w:rsidR="00DD06E2" w:rsidRDefault="00DD06E2" w:rsidP="00DD06E2">
      <w:r>
        <w:t xml:space="preserve">The development of the Open Source software program </w:t>
      </w:r>
      <w:r w:rsidRPr="00DD06E2">
        <w:rPr>
          <w:b/>
          <w:i/>
        </w:rPr>
        <w:t>Minsky</w:t>
      </w:r>
      <w:r>
        <w:t xml:space="preserve"> , with which strictly monetary models of capitalism can be developed, allows that deficiency to be overcome.</w:t>
      </w:r>
      <w:r w:rsidR="00264BFE">
        <w:t xml:space="preserve"> The model shown in </w:t>
      </w:r>
      <w:r w:rsidR="00264BFE">
        <w:fldChar w:fldCharType="begin"/>
      </w:r>
      <w:r w:rsidR="00264BFE">
        <w:instrText xml:space="preserve"> REF _Ref357343352 \h </w:instrText>
      </w:r>
      <w:r w:rsidR="00264BFE">
        <w:fldChar w:fldCharType="separate"/>
      </w:r>
      <w:r w:rsidR="00E27138">
        <w:t xml:space="preserve">Figure </w:t>
      </w:r>
      <w:r w:rsidR="00E27138">
        <w:rPr>
          <w:noProof/>
        </w:rPr>
        <w:t>22</w:t>
      </w:r>
      <w:r w:rsidR="00264BFE">
        <w:fldChar w:fldCharType="end"/>
      </w:r>
      <w:r w:rsidR="00264BFE">
        <w:t xml:space="preserve"> and </w:t>
      </w:r>
      <w:r w:rsidR="00264BFE">
        <w:fldChar w:fldCharType="begin"/>
      </w:r>
      <w:r w:rsidR="00264BFE">
        <w:instrText xml:space="preserve"> REF _Ref357343356 \h </w:instrText>
      </w:r>
      <w:r w:rsidR="00264BFE">
        <w:fldChar w:fldCharType="separate"/>
      </w:r>
      <w:r w:rsidR="00E27138">
        <w:t xml:space="preserve">Figure </w:t>
      </w:r>
      <w:r w:rsidR="00E27138">
        <w:rPr>
          <w:noProof/>
        </w:rPr>
        <w:t>23</w:t>
      </w:r>
      <w:r w:rsidR="00264BFE">
        <w:fldChar w:fldCharType="end"/>
      </w:r>
      <w:r w:rsidR="00264BFE">
        <w:t xml:space="preserve">, and detailed in Equations </w:t>
      </w:r>
      <w:r w:rsidR="00264BFE">
        <w:fldChar w:fldCharType="begin"/>
      </w:r>
      <w:r w:rsidR="00264BFE">
        <w:instrText xml:space="preserve"> GOTOBUTTON ZEqnNum792039  \* MERGEFORMAT </w:instrText>
      </w:r>
      <w:r w:rsidR="008506CF">
        <w:fldChar w:fldCharType="begin"/>
      </w:r>
      <w:r w:rsidR="008506CF">
        <w:instrText xml:space="preserve"> REF ZEqnNum792039 \* Charformat \! \* MERGEFORMAT </w:instrText>
      </w:r>
      <w:r w:rsidR="008506CF">
        <w:fldChar w:fldCharType="separate"/>
      </w:r>
      <w:r w:rsidR="00E27138">
        <w:instrText>(1.10)</w:instrText>
      </w:r>
      <w:r w:rsidR="008506CF">
        <w:fldChar w:fldCharType="end"/>
      </w:r>
      <w:r w:rsidR="00264BFE">
        <w:fldChar w:fldCharType="end"/>
      </w:r>
      <w:r w:rsidR="00264BFE">
        <w:t xml:space="preserve"> to </w:t>
      </w:r>
      <w:r w:rsidR="00264BFE">
        <w:fldChar w:fldCharType="begin"/>
      </w:r>
      <w:r w:rsidR="00264BFE">
        <w:instrText xml:space="preserve"> GOTOBUTTON ZEqnNum887012  \* MERGEFORMAT </w:instrText>
      </w:r>
      <w:r w:rsidR="008506CF">
        <w:fldChar w:fldCharType="begin"/>
      </w:r>
      <w:r w:rsidR="008506CF">
        <w:instrText xml:space="preserve"> REF ZEqnNum887012 \* Charformat \! \* MERGEFORMAT </w:instrText>
      </w:r>
      <w:r w:rsidR="008506CF">
        <w:fldChar w:fldCharType="separate"/>
      </w:r>
      <w:r w:rsidR="00E27138">
        <w:instrText>(1.13)</w:instrText>
      </w:r>
      <w:r w:rsidR="008506CF">
        <w:fldChar w:fldCharType="end"/>
      </w:r>
      <w:r w:rsidR="00264BFE">
        <w:fldChar w:fldCharType="end"/>
      </w:r>
      <w:r w:rsidR="00264BFE">
        <w:t xml:space="preserve"> </w:t>
      </w:r>
      <w:r w:rsidR="00825071">
        <w:t>,</w:t>
      </w:r>
      <w:r w:rsidR="002A5381">
        <w:t xml:space="preserve"> adds both monetary and price dynamics to my 1995 private sector model, and the impact of deflation on the final outcome is now evident.</w:t>
      </w:r>
    </w:p>
    <w:p w:rsidR="0013089D" w:rsidRDefault="0013089D" w:rsidP="0013089D">
      <w:pPr>
        <w:pStyle w:val="Caption"/>
        <w:keepNext/>
      </w:pPr>
      <w:bookmarkStart w:id="21" w:name="_Ref357343352"/>
      <w:r>
        <w:lastRenderedPageBreak/>
        <w:t xml:space="preserve">Figure </w:t>
      </w:r>
      <w:r w:rsidR="008506CF">
        <w:fldChar w:fldCharType="begin"/>
      </w:r>
      <w:r w:rsidR="008506CF">
        <w:instrText xml:space="preserve"> SEQ Figure \* ARABIC </w:instrText>
      </w:r>
      <w:r w:rsidR="008506CF">
        <w:fldChar w:fldCharType="separate"/>
      </w:r>
      <w:r w:rsidR="00E27138">
        <w:rPr>
          <w:noProof/>
        </w:rPr>
        <w:t>22</w:t>
      </w:r>
      <w:r w:rsidR="008506CF">
        <w:rPr>
          <w:noProof/>
        </w:rPr>
        <w:fldChar w:fldCharType="end"/>
      </w:r>
      <w:bookmarkEnd w:id="21"/>
      <w:r>
        <w:t>: Financial flows</w:t>
      </w:r>
    </w:p>
    <w:p w:rsidR="00684EE9" w:rsidRPr="00E54D38" w:rsidRDefault="00684EE9" w:rsidP="00684EE9">
      <w:pPr>
        <w:rPr>
          <w:b/>
        </w:rPr>
      </w:pPr>
      <w:r w:rsidRPr="00E54D38">
        <w:rPr>
          <w:b/>
          <w:noProof/>
          <w:lang w:val="en-AU" w:eastAsia="en-AU"/>
        </w:rPr>
        <w:drawing>
          <wp:inline distT="0" distB="0" distL="0" distR="0" wp14:anchorId="6ADF7468" wp14:editId="1981AC0D">
            <wp:extent cx="5943600" cy="191770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1917700"/>
                    </a:xfrm>
                    <a:prstGeom prst="rect">
                      <a:avLst/>
                    </a:prstGeom>
                  </pic:spPr>
                </pic:pic>
              </a:graphicData>
            </a:graphic>
          </wp:inline>
        </w:drawing>
      </w:r>
    </w:p>
    <w:p w:rsidR="0013089D" w:rsidRDefault="0013089D" w:rsidP="0013089D">
      <w:pPr>
        <w:pStyle w:val="Caption"/>
        <w:keepNext/>
      </w:pPr>
      <w:bookmarkStart w:id="22" w:name="_Ref357343356"/>
      <w:r>
        <w:t xml:space="preserve">Figure </w:t>
      </w:r>
      <w:r w:rsidR="008506CF">
        <w:fldChar w:fldCharType="begin"/>
      </w:r>
      <w:r w:rsidR="008506CF">
        <w:instrText xml:space="preserve"> SEQ Figure \* ARABIC </w:instrText>
      </w:r>
      <w:r w:rsidR="008506CF">
        <w:fldChar w:fldCharType="separate"/>
      </w:r>
      <w:r w:rsidR="00E27138">
        <w:rPr>
          <w:noProof/>
        </w:rPr>
        <w:t>23</w:t>
      </w:r>
      <w:r w:rsidR="008506CF">
        <w:rPr>
          <w:noProof/>
        </w:rPr>
        <w:fldChar w:fldCharType="end"/>
      </w:r>
      <w:bookmarkEnd w:id="22"/>
      <w:r>
        <w:t>: Overall private sector only model</w:t>
      </w:r>
    </w:p>
    <w:p w:rsidR="00684EE9" w:rsidRDefault="0013089D" w:rsidP="00684EE9">
      <w:r>
        <w:rPr>
          <w:noProof/>
          <w:lang w:val="en-AU" w:eastAsia="en-AU"/>
        </w:rPr>
        <w:drawing>
          <wp:inline distT="0" distB="0" distL="0" distR="0" wp14:anchorId="7655DACE" wp14:editId="6F9935BF">
            <wp:extent cx="5943600" cy="3236595"/>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3236595"/>
                    </a:xfrm>
                    <a:prstGeom prst="rect">
                      <a:avLst/>
                    </a:prstGeom>
                  </pic:spPr>
                </pic:pic>
              </a:graphicData>
            </a:graphic>
          </wp:inline>
        </w:drawing>
      </w:r>
      <w:bookmarkStart w:id="23" w:name="_GoBack"/>
      <w:bookmarkEnd w:id="23"/>
    </w:p>
    <w:p w:rsidR="002A5381" w:rsidRDefault="002A5381" w:rsidP="00684EE9">
      <w:r>
        <w:t>So too is the phenomenon which was a curious feature of that 1995 paper, and a historical fact now: the occurrence of an apparent “Great Moderation” immediately prior to the debt-deflation</w:t>
      </w:r>
      <w:r w:rsidR="007E0E3A">
        <w:t>ary</w:t>
      </w:r>
      <w:r>
        <w:t xml:space="preserve"> collapse. A single-minded focus simply on the rate of unemployment </w:t>
      </w:r>
      <w:r w:rsidR="00825071">
        <w:t>(</w:t>
      </w:r>
      <w:r w:rsidR="00825071">
        <w:fldChar w:fldCharType="begin"/>
      </w:r>
      <w:r w:rsidR="00825071">
        <w:instrText xml:space="preserve"> REF _Ref357353092 \h </w:instrText>
      </w:r>
      <w:r w:rsidR="00825071">
        <w:fldChar w:fldCharType="separate"/>
      </w:r>
      <w:r w:rsidR="00E27138">
        <w:t xml:space="preserve">Figure </w:t>
      </w:r>
      <w:r w:rsidR="00E27138">
        <w:rPr>
          <w:noProof/>
        </w:rPr>
        <w:t>24</w:t>
      </w:r>
      <w:r w:rsidR="00825071">
        <w:fldChar w:fldCharType="end"/>
      </w:r>
      <w:r w:rsidR="00825071">
        <w:t xml:space="preserve">) </w:t>
      </w:r>
      <w:r>
        <w:t xml:space="preserve">and the rate of inflation </w:t>
      </w:r>
      <w:r w:rsidR="00825071">
        <w:t>(</w:t>
      </w:r>
      <w:r w:rsidR="00825071">
        <w:fldChar w:fldCharType="begin"/>
      </w:r>
      <w:r w:rsidR="00825071">
        <w:instrText xml:space="preserve"> REF _Ref357353103 \h </w:instrText>
      </w:r>
      <w:r w:rsidR="00825071">
        <w:fldChar w:fldCharType="separate"/>
      </w:r>
      <w:r w:rsidR="00E27138">
        <w:t xml:space="preserve">Figure </w:t>
      </w:r>
      <w:r w:rsidR="00E27138">
        <w:rPr>
          <w:noProof/>
        </w:rPr>
        <w:t>25</w:t>
      </w:r>
      <w:r w:rsidR="00825071">
        <w:fldChar w:fldCharType="end"/>
      </w:r>
      <w:r w:rsidR="00825071">
        <w:t xml:space="preserve">) </w:t>
      </w:r>
      <w:r>
        <w:t>sees instability giving way to tranquility.</w:t>
      </w:r>
      <w:r w:rsidR="00825071">
        <w:t xml:space="preserve"> However, the debt to GDP ratio—the ignored factor in not only Neoclassical economics, but </w:t>
      </w:r>
      <w:r w:rsidR="00415CFD">
        <w:t xml:space="preserve">arguably also </w:t>
      </w:r>
      <w:r w:rsidR="00825071">
        <w:t>Post Keynesian economics prior to acknowledging that effective demand is income plus the change in debt—rises in a cyclical fashion before its exponential growth causes the economy to collapse.</w:t>
      </w:r>
    </w:p>
    <w:p w:rsidR="00A13BD8" w:rsidRDefault="00A13BD8" w:rsidP="00A13BD8">
      <w:pPr>
        <w:pStyle w:val="Caption"/>
        <w:keepNext/>
      </w:pPr>
      <w:bookmarkStart w:id="24" w:name="_Ref357353092"/>
      <w:r>
        <w:lastRenderedPageBreak/>
        <w:t xml:space="preserve">Figure </w:t>
      </w:r>
      <w:r w:rsidR="008506CF">
        <w:fldChar w:fldCharType="begin"/>
      </w:r>
      <w:r w:rsidR="008506CF">
        <w:instrText xml:space="preserve"> SEQ Figure \* ARABIC </w:instrText>
      </w:r>
      <w:r w:rsidR="008506CF">
        <w:fldChar w:fldCharType="separate"/>
      </w:r>
      <w:r w:rsidR="00E27138">
        <w:rPr>
          <w:noProof/>
        </w:rPr>
        <w:t>24</w:t>
      </w:r>
      <w:r w:rsidR="008506CF">
        <w:rPr>
          <w:noProof/>
        </w:rPr>
        <w:fldChar w:fldCharType="end"/>
      </w:r>
      <w:bookmarkEnd w:id="24"/>
      <w:r>
        <w:t>: Unemployment rate</w:t>
      </w:r>
    </w:p>
    <w:p w:rsidR="00A13BD8" w:rsidRDefault="0013089D" w:rsidP="00684EE9">
      <w:r>
        <w:rPr>
          <w:noProof/>
          <w:lang w:val="en-AU" w:eastAsia="en-AU"/>
        </w:rPr>
        <w:drawing>
          <wp:inline distT="0" distB="0" distL="0" distR="0" wp14:anchorId="594849D8" wp14:editId="4545D68F">
            <wp:extent cx="3836020" cy="3748316"/>
            <wp:effectExtent l="0" t="0" r="0"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845858" cy="3757929"/>
                    </a:xfrm>
                    <a:prstGeom prst="rect">
                      <a:avLst/>
                    </a:prstGeom>
                  </pic:spPr>
                </pic:pic>
              </a:graphicData>
            </a:graphic>
          </wp:inline>
        </w:drawing>
      </w:r>
    </w:p>
    <w:p w:rsidR="00A13BD8" w:rsidRDefault="00A13BD8" w:rsidP="00A13BD8">
      <w:pPr>
        <w:pStyle w:val="Caption"/>
        <w:keepNext/>
      </w:pPr>
      <w:bookmarkStart w:id="25" w:name="_Ref357353103"/>
      <w:r>
        <w:t xml:space="preserve">Figure </w:t>
      </w:r>
      <w:r w:rsidR="008506CF">
        <w:fldChar w:fldCharType="begin"/>
      </w:r>
      <w:r w:rsidR="008506CF">
        <w:instrText xml:space="preserve"> SEQ Figure \* ARABIC </w:instrText>
      </w:r>
      <w:r w:rsidR="008506CF">
        <w:fldChar w:fldCharType="separate"/>
      </w:r>
      <w:r w:rsidR="00E27138">
        <w:rPr>
          <w:noProof/>
        </w:rPr>
        <w:t>25</w:t>
      </w:r>
      <w:r w:rsidR="008506CF">
        <w:rPr>
          <w:noProof/>
        </w:rPr>
        <w:fldChar w:fldCharType="end"/>
      </w:r>
      <w:bookmarkEnd w:id="25"/>
      <w:r>
        <w:t>: Inflation rate</w:t>
      </w:r>
    </w:p>
    <w:p w:rsidR="00A13BD8" w:rsidRDefault="0013089D" w:rsidP="00684EE9">
      <w:r>
        <w:rPr>
          <w:noProof/>
          <w:lang w:val="en-AU" w:eastAsia="en-AU"/>
        </w:rPr>
        <w:drawing>
          <wp:inline distT="0" distB="0" distL="0" distR="0" wp14:anchorId="231CADC9" wp14:editId="4B596ADB">
            <wp:extent cx="3419658" cy="3267308"/>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430996" cy="3278141"/>
                    </a:xfrm>
                    <a:prstGeom prst="rect">
                      <a:avLst/>
                    </a:prstGeom>
                  </pic:spPr>
                </pic:pic>
              </a:graphicData>
            </a:graphic>
          </wp:inline>
        </w:drawing>
      </w:r>
    </w:p>
    <w:p w:rsidR="0013089D" w:rsidRDefault="0013089D" w:rsidP="0013089D">
      <w:pPr>
        <w:pStyle w:val="Caption"/>
        <w:keepNext/>
      </w:pPr>
      <w:r>
        <w:lastRenderedPageBreak/>
        <w:t xml:space="preserve">Figure </w:t>
      </w:r>
      <w:r w:rsidR="008506CF">
        <w:fldChar w:fldCharType="begin"/>
      </w:r>
      <w:r w:rsidR="008506CF">
        <w:instrText xml:space="preserve"> SEQ Figure \* ARABIC </w:instrText>
      </w:r>
      <w:r w:rsidR="008506CF">
        <w:fldChar w:fldCharType="separate"/>
      </w:r>
      <w:r w:rsidR="00E27138">
        <w:rPr>
          <w:noProof/>
        </w:rPr>
        <w:t>26</w:t>
      </w:r>
      <w:r w:rsidR="008506CF">
        <w:rPr>
          <w:noProof/>
        </w:rPr>
        <w:fldChar w:fldCharType="end"/>
      </w:r>
      <w:r>
        <w:t>: Debt to GDP ratio</w:t>
      </w:r>
    </w:p>
    <w:p w:rsidR="0013089D" w:rsidRDefault="0013089D" w:rsidP="00684EE9">
      <w:r>
        <w:rPr>
          <w:noProof/>
          <w:lang w:val="en-AU" w:eastAsia="en-AU"/>
        </w:rPr>
        <w:drawing>
          <wp:inline distT="0" distB="0" distL="0" distR="0" wp14:anchorId="567376C4" wp14:editId="65EE9AAF">
            <wp:extent cx="3679902" cy="4170556"/>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686089" cy="4177568"/>
                    </a:xfrm>
                    <a:prstGeom prst="rect">
                      <a:avLst/>
                    </a:prstGeom>
                  </pic:spPr>
                </pic:pic>
              </a:graphicData>
            </a:graphic>
          </wp:inline>
        </w:drawing>
      </w:r>
    </w:p>
    <w:p w:rsidR="00825071" w:rsidRDefault="00825071" w:rsidP="00684EE9">
      <w:r>
        <w:t>This is, as noted, an extremely stylized model—with perhaps the most important omission being the absence of bankruptcy, which in the real world prevents a total debt-induced collapse. But the basic qualitative characteristics of this extremely simple structural model capture the behavior of the US economy from 1993 till 2007 in an uncanny way.</w:t>
      </w:r>
    </w:p>
    <w:p w:rsidR="00825071" w:rsidRDefault="00825071" w:rsidP="00684EE9">
      <w:r>
        <w:t>Future development of this approach will involve adding additional aspects of reality, from bankruptcy to Ponzi financing of asset bubbles, and government counter-cyclical spending—all of which can be easily incorporated in the Minsky framework.</w:t>
      </w:r>
    </w:p>
    <w:p w:rsidR="007E0E3A" w:rsidRDefault="007E0E3A" w:rsidP="007E0E3A">
      <w:pPr>
        <w:pStyle w:val="Heading1"/>
      </w:pPr>
      <w:r>
        <w:t>Conclusion</w:t>
      </w:r>
    </w:p>
    <w:p w:rsidR="007E0E3A" w:rsidRPr="007E0E3A" w:rsidRDefault="006F66DB" w:rsidP="007E0E3A">
      <w:r>
        <w:t>Monetary macroeconomics</w:t>
      </w:r>
      <w:r w:rsidR="00963EF0">
        <w:t xml:space="preserve"> </w:t>
      </w:r>
      <w:r>
        <w:t xml:space="preserve">can do what </w:t>
      </w:r>
      <w:proofErr w:type="gramStart"/>
      <w:r>
        <w:t>Neoclassical</w:t>
      </w:r>
      <w:proofErr w:type="gramEnd"/>
      <w:r>
        <w:t xml:space="preserve"> non-monetary macroeconomics abjectly cannot: it can describe and mod</w:t>
      </w:r>
      <w:r w:rsidR="00415CFD">
        <w:t>el capitalism. It is now possible to transcend the historic practice of not including banks debt and money in macroeconomic models. The economic and financial crisis, and the failure of conventional economic theory to anticipate it, emphasizes that it is essential that we develop a strictly monetary approach to macroeconomics.</w:t>
      </w:r>
    </w:p>
    <w:p w:rsidR="007E0E3A" w:rsidRDefault="007E0E3A" w:rsidP="007E0E3A">
      <w:pPr>
        <w:pStyle w:val="Heading1"/>
      </w:pPr>
      <w:r>
        <w:lastRenderedPageBreak/>
        <w:t xml:space="preserve">Appendix: Model equations (generated by </w:t>
      </w:r>
      <w:r w:rsidRPr="007E0E3A">
        <w:rPr>
          <w:i/>
        </w:rPr>
        <w:t>Minsky</w:t>
      </w:r>
      <w:r>
        <w:t>)</w:t>
      </w:r>
    </w:p>
    <w:p w:rsidR="00684EE9" w:rsidRDefault="00684EE9" w:rsidP="00684EE9">
      <w:pPr>
        <w:pStyle w:val="MTDisplayEquation"/>
      </w:pPr>
      <w:r>
        <w:tab/>
      </w:r>
      <w:r w:rsidR="00A13BD8" w:rsidRPr="00A13BD8">
        <w:rPr>
          <w:position w:val="-60"/>
        </w:rPr>
        <w:object w:dxaOrig="6480" w:dyaOrig="6820">
          <v:shape id="_x0000_i1035" type="#_x0000_t75" style="width:324.35pt;height:341pt" o:ole="">
            <v:imagedata r:id="rId52" o:title=""/>
          </v:shape>
          <o:OLEObject Type="Embed" ProgID="Equation.DSMT4" ShapeID="_x0000_i1035" DrawAspect="Content" ObjectID="_1431228554" r:id="rId5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6" w:name="ZEqnNum792039"/>
      <w:r>
        <w:instrText>(</w:instrText>
      </w:r>
      <w:fldSimple w:instr=" SEQ MTSec \c \* Arabic \* MERGEFORMAT ">
        <w:r w:rsidR="00E27138">
          <w:rPr>
            <w:noProof/>
          </w:rPr>
          <w:instrText>1</w:instrText>
        </w:r>
      </w:fldSimple>
      <w:r>
        <w:instrText>.</w:instrText>
      </w:r>
      <w:fldSimple w:instr=" SEQ MTEqn \c \* Arabic \* MERGEFORMAT ">
        <w:r w:rsidR="00E27138">
          <w:rPr>
            <w:noProof/>
          </w:rPr>
          <w:instrText>10</w:instrText>
        </w:r>
      </w:fldSimple>
      <w:r>
        <w:instrText>)</w:instrText>
      </w:r>
      <w:bookmarkEnd w:id="26"/>
      <w:r>
        <w:fldChar w:fldCharType="end"/>
      </w:r>
    </w:p>
    <w:p w:rsidR="00E54D38" w:rsidRDefault="00E54D38" w:rsidP="00E54D38">
      <w:pPr>
        <w:pStyle w:val="MTDisplayEquation"/>
      </w:pPr>
      <w:r>
        <w:tab/>
      </w:r>
      <w:r w:rsidR="00A13BD8" w:rsidRPr="00A13BD8">
        <w:rPr>
          <w:position w:val="-196"/>
        </w:rPr>
        <w:object w:dxaOrig="3140" w:dyaOrig="3500">
          <v:shape id="_x0000_i1036" type="#_x0000_t75" style="width:156.9pt;height:175.25pt" o:ole="">
            <v:imagedata r:id="rId54" o:title=""/>
          </v:shape>
          <o:OLEObject Type="Embed" ProgID="Equation.DSMT4" ShapeID="_x0000_i1036" DrawAspect="Content" ObjectID="_1431228555" r:id="rId55"/>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Sec \c \* Arabic \* MERGEFORMAT ">
        <w:r w:rsidR="00E27138">
          <w:rPr>
            <w:noProof/>
          </w:rPr>
          <w:instrText>1</w:instrText>
        </w:r>
      </w:fldSimple>
      <w:r>
        <w:instrText>.</w:instrText>
      </w:r>
      <w:fldSimple w:instr=" SEQ MTEqn \c \* Arabic \* MERGEFORMAT ">
        <w:r w:rsidR="00E27138">
          <w:rPr>
            <w:noProof/>
          </w:rPr>
          <w:instrText>11</w:instrText>
        </w:r>
      </w:fldSimple>
      <w:r>
        <w:instrText>)</w:instrText>
      </w:r>
      <w:r>
        <w:fldChar w:fldCharType="end"/>
      </w:r>
    </w:p>
    <w:p w:rsidR="00E54D38" w:rsidRDefault="00E54D38" w:rsidP="00E54D38">
      <w:pPr>
        <w:pStyle w:val="MTDisplayEquation"/>
      </w:pPr>
      <w:r>
        <w:lastRenderedPageBreak/>
        <w:tab/>
      </w:r>
      <w:r w:rsidR="00A13BD8" w:rsidRPr="00A13BD8">
        <w:rPr>
          <w:position w:val="-174"/>
        </w:rPr>
        <w:object w:dxaOrig="2140" w:dyaOrig="3600">
          <v:shape id="_x0000_i1037" type="#_x0000_t75" style="width:106.65pt;height:180.7pt" o:ole="">
            <v:imagedata r:id="rId56" o:title=""/>
          </v:shape>
          <o:OLEObject Type="Embed" ProgID="Equation.DSMT4" ShapeID="_x0000_i1037" DrawAspect="Content" ObjectID="_1431228556" r:id="rId57"/>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Sec \c \* Arabic \* MERGEFORMAT ">
        <w:r w:rsidR="00E27138">
          <w:rPr>
            <w:noProof/>
          </w:rPr>
          <w:instrText>1</w:instrText>
        </w:r>
      </w:fldSimple>
      <w:r>
        <w:instrText>.</w:instrText>
      </w:r>
      <w:fldSimple w:instr=" SEQ MTEqn \c \* Arabic \* MERGEFORMAT ">
        <w:r w:rsidR="00E27138">
          <w:rPr>
            <w:noProof/>
          </w:rPr>
          <w:instrText>12</w:instrText>
        </w:r>
      </w:fldSimple>
      <w:r>
        <w:instrText>)</w:instrText>
      </w:r>
      <w:r>
        <w:fldChar w:fldCharType="end"/>
      </w:r>
    </w:p>
    <w:p w:rsidR="00316177" w:rsidRDefault="00316177" w:rsidP="00316177">
      <w:pPr>
        <w:pStyle w:val="MTDisplayEquation"/>
      </w:pPr>
      <w:r>
        <w:tab/>
      </w:r>
      <w:r w:rsidR="00A13BD8" w:rsidRPr="00A13BD8">
        <w:rPr>
          <w:position w:val="-196"/>
        </w:rPr>
        <w:object w:dxaOrig="4700" w:dyaOrig="4040">
          <v:shape id="_x0000_i1038" type="#_x0000_t75" style="width:235pt;height:202.1pt" o:ole="">
            <v:imagedata r:id="rId58" o:title=""/>
          </v:shape>
          <o:OLEObject Type="Embed" ProgID="Equation.DSMT4" ShapeID="_x0000_i1038" DrawAspect="Content" ObjectID="_1431228557" r:id="rId5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7" w:name="ZEqnNum887012"/>
      <w:r>
        <w:instrText>(</w:instrText>
      </w:r>
      <w:fldSimple w:instr=" SEQ MTSec \c \* Arabic \* MERGEFORMAT ">
        <w:r w:rsidR="00E27138">
          <w:rPr>
            <w:noProof/>
          </w:rPr>
          <w:instrText>1</w:instrText>
        </w:r>
      </w:fldSimple>
      <w:r>
        <w:instrText>.</w:instrText>
      </w:r>
      <w:fldSimple w:instr=" SEQ MTEqn \c \* Arabic \* MERGEFORMAT ">
        <w:r w:rsidR="00E27138">
          <w:rPr>
            <w:noProof/>
          </w:rPr>
          <w:instrText>13</w:instrText>
        </w:r>
      </w:fldSimple>
      <w:r>
        <w:instrText>)</w:instrText>
      </w:r>
      <w:bookmarkEnd w:id="27"/>
      <w:r>
        <w:fldChar w:fldCharType="end"/>
      </w:r>
    </w:p>
    <w:p w:rsidR="00825071" w:rsidRPr="00825071" w:rsidRDefault="00825071" w:rsidP="00825071">
      <w:pPr>
        <w:pStyle w:val="MTDisplayEquation"/>
      </w:pPr>
      <w:r>
        <w:lastRenderedPageBreak/>
        <w:tab/>
      </w:r>
      <w:r w:rsidR="00705811" w:rsidRPr="00705811">
        <w:rPr>
          <w:position w:val="-170"/>
        </w:rPr>
        <w:object w:dxaOrig="7680" w:dyaOrig="5040">
          <v:shape id="_x0000_i1039" type="#_x0000_t75" style="width:383.1pt;height:252.35pt" o:ole="">
            <v:imagedata r:id="rId60" o:title=""/>
          </v:shape>
          <o:OLEObject Type="Embed" ProgID="Equation.DSMT4" ShapeID="_x0000_i1039" DrawAspect="Content" ObjectID="_1431228558" r:id="rId61"/>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Sec \c \* Arabic \* MERGEFORMAT ">
        <w:r w:rsidR="00E27138">
          <w:rPr>
            <w:noProof/>
          </w:rPr>
          <w:instrText>1</w:instrText>
        </w:r>
      </w:fldSimple>
      <w:r>
        <w:instrText>.</w:instrText>
      </w:r>
      <w:fldSimple w:instr=" SEQ MTEqn \c \* Arabic \* MERGEFORMAT ">
        <w:r w:rsidR="00E27138">
          <w:rPr>
            <w:noProof/>
          </w:rPr>
          <w:instrText>14</w:instrText>
        </w:r>
      </w:fldSimple>
      <w:r>
        <w:instrText>)</w:instrText>
      </w:r>
      <w:r>
        <w:fldChar w:fldCharType="end"/>
      </w:r>
    </w:p>
    <w:p w:rsidR="00DD06E2" w:rsidRPr="00DD06E2" w:rsidRDefault="00E356F1" w:rsidP="00DD06E2">
      <w:pPr>
        <w:pStyle w:val="Quote"/>
        <w:spacing w:after="0" w:line="240" w:lineRule="auto"/>
        <w:ind w:hanging="720"/>
        <w:rPr>
          <w:rFonts w:ascii="Calibri" w:hAnsi="Calibri"/>
          <w:noProof/>
        </w:rPr>
      </w:pPr>
      <w:r>
        <w:fldChar w:fldCharType="begin"/>
      </w:r>
      <w:r>
        <w:instrText xml:space="preserve"> ADDIN EN.REFLIST </w:instrText>
      </w:r>
      <w:r>
        <w:fldChar w:fldCharType="separate"/>
      </w:r>
      <w:bookmarkStart w:id="28" w:name="_ENREF_1"/>
      <w:r w:rsidR="00DD06E2" w:rsidRPr="00DD06E2">
        <w:rPr>
          <w:rFonts w:ascii="Calibri" w:hAnsi="Calibri"/>
          <w:noProof/>
        </w:rPr>
        <w:t xml:space="preserve">Benes, J. and M. Kumhof (2012). The Chicago Plan Revisited. </w:t>
      </w:r>
      <w:r w:rsidR="00DD06E2" w:rsidRPr="00DD06E2">
        <w:rPr>
          <w:rFonts w:ascii="Calibri" w:hAnsi="Calibri"/>
          <w:noProof/>
          <w:u w:val="single"/>
        </w:rPr>
        <w:t>IMF Working Paper</w:t>
      </w:r>
      <w:r w:rsidR="00DD06E2" w:rsidRPr="00DD06E2">
        <w:rPr>
          <w:rFonts w:ascii="Calibri" w:hAnsi="Calibri"/>
          <w:noProof/>
        </w:rPr>
        <w:t>. Washington, IMF.</w:t>
      </w:r>
      <w:bookmarkEnd w:id="28"/>
    </w:p>
    <w:p w:rsidR="00DD06E2" w:rsidRPr="00DD06E2" w:rsidRDefault="00DD06E2" w:rsidP="00DD06E2">
      <w:pPr>
        <w:pStyle w:val="Quote"/>
        <w:spacing w:after="0" w:line="240" w:lineRule="auto"/>
        <w:ind w:hanging="720"/>
        <w:rPr>
          <w:rFonts w:ascii="Calibri" w:hAnsi="Calibri"/>
          <w:noProof/>
        </w:rPr>
      </w:pPr>
      <w:bookmarkStart w:id="29" w:name="_ENREF_2"/>
      <w:r w:rsidRPr="00DD06E2">
        <w:rPr>
          <w:rFonts w:ascii="Calibri" w:hAnsi="Calibri"/>
          <w:noProof/>
        </w:rPr>
        <w:t xml:space="preserve">Bernanke, B. S. (2000). </w:t>
      </w:r>
      <w:r w:rsidRPr="00DD06E2">
        <w:rPr>
          <w:rFonts w:ascii="Calibri" w:hAnsi="Calibri"/>
          <w:noProof/>
          <w:u w:val="single"/>
        </w:rPr>
        <w:t>Essays on the Great Depression</w:t>
      </w:r>
      <w:r w:rsidRPr="00DD06E2">
        <w:rPr>
          <w:rFonts w:ascii="Calibri" w:hAnsi="Calibri"/>
          <w:noProof/>
        </w:rPr>
        <w:t>. Princeton, Princeton University Press.</w:t>
      </w:r>
      <w:bookmarkEnd w:id="29"/>
    </w:p>
    <w:p w:rsidR="00DD06E2" w:rsidRPr="00DD06E2" w:rsidRDefault="00DD06E2" w:rsidP="00DD06E2">
      <w:pPr>
        <w:pStyle w:val="Quote"/>
        <w:spacing w:after="0" w:line="240" w:lineRule="auto"/>
        <w:ind w:hanging="720"/>
        <w:rPr>
          <w:rFonts w:ascii="Calibri" w:hAnsi="Calibri"/>
          <w:noProof/>
        </w:rPr>
      </w:pPr>
      <w:bookmarkStart w:id="30" w:name="_ENREF_3"/>
      <w:r w:rsidRPr="00DD06E2">
        <w:rPr>
          <w:rFonts w:ascii="Calibri" w:hAnsi="Calibri"/>
          <w:noProof/>
        </w:rPr>
        <w:t xml:space="preserve">Biggs, M. and T. Mayer (2010). "The Output Gap Conundrum." </w:t>
      </w:r>
      <w:r w:rsidRPr="00DD06E2">
        <w:rPr>
          <w:rFonts w:ascii="Calibri" w:hAnsi="Calibri"/>
          <w:noProof/>
          <w:u w:val="single"/>
        </w:rPr>
        <w:t>Intereconomics/Review of European Economic Policy</w:t>
      </w:r>
      <w:r w:rsidRPr="00DD06E2">
        <w:rPr>
          <w:rFonts w:ascii="Calibri" w:hAnsi="Calibri"/>
          <w:noProof/>
        </w:rPr>
        <w:t xml:space="preserve"> </w:t>
      </w:r>
      <w:r w:rsidRPr="00DD06E2">
        <w:rPr>
          <w:rFonts w:ascii="Calibri" w:hAnsi="Calibri"/>
          <w:b/>
          <w:noProof/>
        </w:rPr>
        <w:t>45</w:t>
      </w:r>
      <w:r w:rsidRPr="00DD06E2">
        <w:rPr>
          <w:rFonts w:ascii="Calibri" w:hAnsi="Calibri"/>
          <w:noProof/>
        </w:rPr>
        <w:t>(1): 11-16.</w:t>
      </w:r>
      <w:bookmarkEnd w:id="30"/>
    </w:p>
    <w:p w:rsidR="00DD06E2" w:rsidRPr="00DD06E2" w:rsidRDefault="00DD06E2" w:rsidP="00DD06E2">
      <w:pPr>
        <w:pStyle w:val="Quote"/>
        <w:spacing w:after="0" w:line="240" w:lineRule="auto"/>
        <w:ind w:hanging="720"/>
        <w:rPr>
          <w:rFonts w:ascii="Calibri" w:hAnsi="Calibri"/>
          <w:noProof/>
        </w:rPr>
      </w:pPr>
      <w:bookmarkStart w:id="31" w:name="_ENREF_4"/>
      <w:r w:rsidRPr="00DD06E2">
        <w:rPr>
          <w:rFonts w:ascii="Calibri" w:hAnsi="Calibri"/>
          <w:noProof/>
        </w:rPr>
        <w:t xml:space="preserve">Biggs, M., T. Mayer, et al. (2010). "Credit and Economic Recovery: Demystifying Phoenix Miracles." </w:t>
      </w:r>
      <w:r w:rsidRPr="00DD06E2">
        <w:rPr>
          <w:rFonts w:ascii="Calibri" w:hAnsi="Calibri"/>
          <w:noProof/>
          <w:u w:val="single"/>
        </w:rPr>
        <w:t>SSRN eLibrary</w:t>
      </w:r>
      <w:r w:rsidRPr="00DD06E2">
        <w:rPr>
          <w:rFonts w:ascii="Calibri" w:hAnsi="Calibri"/>
          <w:noProof/>
        </w:rPr>
        <w:t>.</w:t>
      </w:r>
      <w:bookmarkEnd w:id="31"/>
    </w:p>
    <w:p w:rsidR="00DD06E2" w:rsidRPr="00DD06E2" w:rsidRDefault="00DD06E2" w:rsidP="00DD06E2">
      <w:pPr>
        <w:pStyle w:val="Quote"/>
        <w:spacing w:after="0" w:line="240" w:lineRule="auto"/>
        <w:ind w:hanging="720"/>
        <w:rPr>
          <w:rFonts w:ascii="Calibri" w:hAnsi="Calibri"/>
          <w:noProof/>
        </w:rPr>
      </w:pPr>
      <w:bookmarkStart w:id="32" w:name="_ENREF_5"/>
      <w:r w:rsidRPr="00DD06E2">
        <w:rPr>
          <w:rFonts w:ascii="Calibri" w:hAnsi="Calibri"/>
          <w:noProof/>
        </w:rPr>
        <w:t xml:space="preserve">Carpenter, S. B. and S. Demiralp (2010). Money, Reserves, and the Transmission of Monetary Policy: Does the Money Multiplier Exist? </w:t>
      </w:r>
      <w:r w:rsidRPr="00DD06E2">
        <w:rPr>
          <w:rFonts w:ascii="Calibri" w:hAnsi="Calibri"/>
          <w:noProof/>
          <w:u w:val="single"/>
        </w:rPr>
        <w:t>Finance and Economics Discussion Series</w:t>
      </w:r>
      <w:r w:rsidRPr="00DD06E2">
        <w:rPr>
          <w:rFonts w:ascii="Calibri" w:hAnsi="Calibri"/>
          <w:noProof/>
        </w:rPr>
        <w:t>. Washington, Federal Reserve Board.</w:t>
      </w:r>
      <w:bookmarkEnd w:id="32"/>
    </w:p>
    <w:p w:rsidR="00DD06E2" w:rsidRPr="00DD06E2" w:rsidRDefault="00DD06E2" w:rsidP="00DD06E2">
      <w:pPr>
        <w:pStyle w:val="Quote"/>
        <w:spacing w:after="0" w:line="240" w:lineRule="auto"/>
        <w:ind w:hanging="720"/>
        <w:rPr>
          <w:rFonts w:ascii="Calibri" w:hAnsi="Calibri"/>
          <w:noProof/>
        </w:rPr>
      </w:pPr>
      <w:bookmarkStart w:id="33" w:name="_ENREF_6"/>
      <w:r w:rsidRPr="00DD06E2">
        <w:rPr>
          <w:rFonts w:ascii="Calibri" w:hAnsi="Calibri"/>
          <w:noProof/>
        </w:rPr>
        <w:t xml:space="preserve">Eggertsson, G. B. and P. Krugman (2012). "Debt, Deleveraging, and the Liquidity Trap: A Fisher-Minsky-Koo approach." </w:t>
      </w:r>
      <w:r w:rsidRPr="00DD06E2">
        <w:rPr>
          <w:rFonts w:ascii="Calibri" w:hAnsi="Calibri"/>
          <w:noProof/>
          <w:u w:val="single"/>
        </w:rPr>
        <w:t>Quarterly Journal of Economics</w:t>
      </w:r>
      <w:r w:rsidRPr="00DD06E2">
        <w:rPr>
          <w:rFonts w:ascii="Calibri" w:hAnsi="Calibri"/>
          <w:noProof/>
        </w:rPr>
        <w:t xml:space="preserve"> </w:t>
      </w:r>
      <w:r w:rsidRPr="00DD06E2">
        <w:rPr>
          <w:rFonts w:ascii="Calibri" w:hAnsi="Calibri"/>
          <w:b/>
          <w:noProof/>
        </w:rPr>
        <w:t>127</w:t>
      </w:r>
      <w:r w:rsidRPr="00DD06E2">
        <w:rPr>
          <w:rFonts w:ascii="Calibri" w:hAnsi="Calibri"/>
          <w:noProof/>
        </w:rPr>
        <w:t>: 1469–1513.</w:t>
      </w:r>
      <w:bookmarkEnd w:id="33"/>
    </w:p>
    <w:p w:rsidR="00DD06E2" w:rsidRPr="00DD06E2" w:rsidRDefault="00DD06E2" w:rsidP="00DD06E2">
      <w:pPr>
        <w:pStyle w:val="Quote"/>
        <w:spacing w:after="0" w:line="240" w:lineRule="auto"/>
        <w:ind w:hanging="720"/>
        <w:rPr>
          <w:rFonts w:ascii="Calibri" w:hAnsi="Calibri"/>
          <w:noProof/>
        </w:rPr>
      </w:pPr>
      <w:bookmarkStart w:id="34" w:name="_ENREF_7"/>
      <w:r w:rsidRPr="00DD06E2">
        <w:rPr>
          <w:rFonts w:ascii="Calibri" w:hAnsi="Calibri"/>
          <w:noProof/>
        </w:rPr>
        <w:t xml:space="preserve">Fisher, I. (1933). "The Debt-Deflation Theory of Great Depressions." </w:t>
      </w:r>
      <w:r w:rsidRPr="00DD06E2">
        <w:rPr>
          <w:rFonts w:ascii="Calibri" w:hAnsi="Calibri"/>
          <w:noProof/>
          <w:u w:val="single"/>
        </w:rPr>
        <w:t>Econometrica</w:t>
      </w:r>
      <w:r w:rsidRPr="00DD06E2">
        <w:rPr>
          <w:rFonts w:ascii="Calibri" w:hAnsi="Calibri"/>
          <w:noProof/>
        </w:rPr>
        <w:t xml:space="preserve"> </w:t>
      </w:r>
      <w:r w:rsidRPr="00DD06E2">
        <w:rPr>
          <w:rFonts w:ascii="Calibri" w:hAnsi="Calibri"/>
          <w:b/>
          <w:noProof/>
        </w:rPr>
        <w:t>1</w:t>
      </w:r>
      <w:r w:rsidRPr="00DD06E2">
        <w:rPr>
          <w:rFonts w:ascii="Calibri" w:hAnsi="Calibri"/>
          <w:noProof/>
        </w:rPr>
        <w:t>(4): 337-357.</w:t>
      </w:r>
      <w:bookmarkEnd w:id="34"/>
    </w:p>
    <w:p w:rsidR="00DD06E2" w:rsidRPr="00DD06E2" w:rsidRDefault="00DD06E2" w:rsidP="00DD06E2">
      <w:pPr>
        <w:pStyle w:val="Quote"/>
        <w:spacing w:after="0" w:line="240" w:lineRule="auto"/>
        <w:ind w:hanging="720"/>
        <w:rPr>
          <w:rFonts w:ascii="Calibri" w:hAnsi="Calibri"/>
          <w:noProof/>
        </w:rPr>
      </w:pPr>
      <w:bookmarkStart w:id="35" w:name="_ENREF_8"/>
      <w:r w:rsidRPr="00DD06E2">
        <w:rPr>
          <w:rFonts w:ascii="Calibri" w:hAnsi="Calibri"/>
          <w:noProof/>
        </w:rPr>
        <w:t xml:space="preserve">Godley, W. and M. Lavoie (2005). "Comprehensive Accounting in Simple Open Economy Macroeconomics with Endogenous Sterilization or Flexible Exchange Rates." </w:t>
      </w:r>
      <w:r w:rsidRPr="00DD06E2">
        <w:rPr>
          <w:rFonts w:ascii="Calibri" w:hAnsi="Calibri"/>
          <w:noProof/>
          <w:u w:val="single"/>
        </w:rPr>
        <w:t>Journal of Post Keynesian Economics</w:t>
      </w:r>
      <w:r w:rsidRPr="00DD06E2">
        <w:rPr>
          <w:rFonts w:ascii="Calibri" w:hAnsi="Calibri"/>
          <w:noProof/>
        </w:rPr>
        <w:t xml:space="preserve"> </w:t>
      </w:r>
      <w:r w:rsidRPr="00DD06E2">
        <w:rPr>
          <w:rFonts w:ascii="Calibri" w:hAnsi="Calibri"/>
          <w:b/>
          <w:noProof/>
        </w:rPr>
        <w:t>28</w:t>
      </w:r>
      <w:r w:rsidRPr="00DD06E2">
        <w:rPr>
          <w:rFonts w:ascii="Calibri" w:hAnsi="Calibri"/>
          <w:noProof/>
        </w:rPr>
        <w:t>(2): 241-276.</w:t>
      </w:r>
      <w:bookmarkEnd w:id="35"/>
    </w:p>
    <w:p w:rsidR="00DD06E2" w:rsidRPr="00DD06E2" w:rsidRDefault="00DD06E2" w:rsidP="00DD06E2">
      <w:pPr>
        <w:pStyle w:val="Quote"/>
        <w:spacing w:after="0" w:line="240" w:lineRule="auto"/>
        <w:ind w:hanging="720"/>
        <w:rPr>
          <w:rFonts w:ascii="Calibri" w:hAnsi="Calibri"/>
          <w:noProof/>
        </w:rPr>
      </w:pPr>
      <w:bookmarkStart w:id="36" w:name="_ENREF_9"/>
      <w:r w:rsidRPr="00DD06E2">
        <w:rPr>
          <w:rFonts w:ascii="Calibri" w:hAnsi="Calibri"/>
          <w:noProof/>
        </w:rPr>
        <w:t xml:space="preserve">Goodwin, R. M. (1967). A growth cycle. </w:t>
      </w:r>
      <w:r w:rsidRPr="00DD06E2">
        <w:rPr>
          <w:rFonts w:ascii="Calibri" w:hAnsi="Calibri"/>
          <w:noProof/>
          <w:u w:val="single"/>
        </w:rPr>
        <w:t>Socialism, Capitalism and Economic Growth</w:t>
      </w:r>
      <w:r w:rsidRPr="00DD06E2">
        <w:rPr>
          <w:rFonts w:ascii="Calibri" w:hAnsi="Calibri"/>
          <w:noProof/>
        </w:rPr>
        <w:t>. C. H. Feinstein. Cambridge, Cambridge University Press</w:t>
      </w:r>
      <w:r w:rsidRPr="00DD06E2">
        <w:rPr>
          <w:rFonts w:ascii="Calibri" w:hAnsi="Calibri"/>
          <w:b/>
          <w:noProof/>
        </w:rPr>
        <w:t xml:space="preserve">: </w:t>
      </w:r>
      <w:r w:rsidRPr="00DD06E2">
        <w:rPr>
          <w:rFonts w:ascii="Calibri" w:hAnsi="Calibri"/>
          <w:noProof/>
        </w:rPr>
        <w:t>54-58.</w:t>
      </w:r>
      <w:bookmarkEnd w:id="36"/>
    </w:p>
    <w:p w:rsidR="00DD06E2" w:rsidRPr="00DD06E2" w:rsidRDefault="00DD06E2" w:rsidP="00DD06E2">
      <w:pPr>
        <w:pStyle w:val="Quote"/>
        <w:spacing w:after="0" w:line="240" w:lineRule="auto"/>
        <w:ind w:hanging="720"/>
        <w:rPr>
          <w:rFonts w:ascii="Calibri" w:hAnsi="Calibri"/>
          <w:noProof/>
        </w:rPr>
      </w:pPr>
      <w:bookmarkStart w:id="37" w:name="_ENREF_10"/>
      <w:r w:rsidRPr="00DD06E2">
        <w:rPr>
          <w:rFonts w:ascii="Calibri" w:hAnsi="Calibri"/>
          <w:noProof/>
        </w:rPr>
        <w:t xml:space="preserve">Graziani, A. (1995). The Theory of the Monetary Circuit. </w:t>
      </w:r>
      <w:r w:rsidRPr="00DD06E2">
        <w:rPr>
          <w:rFonts w:ascii="Calibri" w:hAnsi="Calibri"/>
          <w:noProof/>
          <w:u w:val="single"/>
        </w:rPr>
        <w:t>The money supply in the economic process: A Post Keynesian perspective</w:t>
      </w:r>
      <w:r w:rsidRPr="00DD06E2">
        <w:rPr>
          <w:rFonts w:ascii="Calibri" w:hAnsi="Calibri"/>
          <w:noProof/>
        </w:rPr>
        <w:t xml:space="preserve">. M. Musella and C. Panico. Aldershot, U.K, Elgar Reference Collection. International Library of Critical Writings in Economics. </w:t>
      </w:r>
      <w:r w:rsidRPr="00DD06E2">
        <w:rPr>
          <w:rFonts w:ascii="Calibri" w:hAnsi="Calibri"/>
          <w:b/>
          <w:noProof/>
        </w:rPr>
        <w:t xml:space="preserve">60: </w:t>
      </w:r>
      <w:r w:rsidRPr="00DD06E2">
        <w:rPr>
          <w:rFonts w:ascii="Calibri" w:hAnsi="Calibri"/>
          <w:noProof/>
        </w:rPr>
        <w:t>516-541.</w:t>
      </w:r>
      <w:bookmarkEnd w:id="37"/>
    </w:p>
    <w:p w:rsidR="00DD06E2" w:rsidRPr="00DD06E2" w:rsidRDefault="00DD06E2" w:rsidP="00DD06E2">
      <w:pPr>
        <w:pStyle w:val="Quote"/>
        <w:spacing w:after="0" w:line="240" w:lineRule="auto"/>
        <w:ind w:hanging="720"/>
        <w:rPr>
          <w:rFonts w:ascii="Calibri" w:hAnsi="Calibri"/>
          <w:noProof/>
        </w:rPr>
      </w:pPr>
      <w:bookmarkStart w:id="38" w:name="_ENREF_11"/>
      <w:r w:rsidRPr="00DD06E2">
        <w:rPr>
          <w:rFonts w:ascii="Calibri" w:hAnsi="Calibri"/>
          <w:noProof/>
        </w:rPr>
        <w:t xml:space="preserve">Greenspan, A. (2013). Greenspan: Ignore The Economy, "Only The Stock Market Matters". </w:t>
      </w:r>
      <w:r w:rsidRPr="00DD06E2">
        <w:rPr>
          <w:rFonts w:ascii="Calibri" w:hAnsi="Calibri"/>
          <w:noProof/>
          <w:u w:val="single"/>
        </w:rPr>
        <w:t>Zerohedge</w:t>
      </w:r>
      <w:r w:rsidRPr="00DD06E2">
        <w:rPr>
          <w:rFonts w:ascii="Calibri" w:hAnsi="Calibri"/>
          <w:noProof/>
        </w:rPr>
        <w:t>. T. Durden. New York, Tyler Durden.</w:t>
      </w:r>
      <w:bookmarkEnd w:id="38"/>
    </w:p>
    <w:p w:rsidR="00DD06E2" w:rsidRPr="00DD06E2" w:rsidRDefault="00DD06E2" w:rsidP="00DD06E2">
      <w:pPr>
        <w:pStyle w:val="Quote"/>
        <w:spacing w:after="0" w:line="240" w:lineRule="auto"/>
        <w:ind w:hanging="720"/>
        <w:rPr>
          <w:rFonts w:ascii="Calibri" w:hAnsi="Calibri"/>
          <w:noProof/>
        </w:rPr>
      </w:pPr>
      <w:bookmarkStart w:id="39" w:name="_ENREF_12"/>
      <w:r w:rsidRPr="00DD06E2">
        <w:rPr>
          <w:rFonts w:ascii="Calibri" w:hAnsi="Calibri"/>
          <w:noProof/>
        </w:rPr>
        <w:t xml:space="preserve">Guerrero, O. A. and R. L. Axtell (2013). "Employment Growth through Labor Flow Networks." </w:t>
      </w:r>
      <w:r w:rsidRPr="00DD06E2">
        <w:rPr>
          <w:rFonts w:ascii="Calibri" w:hAnsi="Calibri"/>
          <w:noProof/>
          <w:u w:val="single"/>
        </w:rPr>
        <w:t>PLoS ONE</w:t>
      </w:r>
      <w:r w:rsidRPr="00DD06E2">
        <w:rPr>
          <w:rFonts w:ascii="Calibri" w:hAnsi="Calibri"/>
          <w:noProof/>
        </w:rPr>
        <w:t xml:space="preserve"> </w:t>
      </w:r>
      <w:r w:rsidRPr="00DD06E2">
        <w:rPr>
          <w:rFonts w:ascii="Calibri" w:hAnsi="Calibri"/>
          <w:b/>
          <w:noProof/>
        </w:rPr>
        <w:t>8</w:t>
      </w:r>
      <w:r w:rsidRPr="00DD06E2">
        <w:rPr>
          <w:rFonts w:ascii="Calibri" w:hAnsi="Calibri"/>
          <w:noProof/>
        </w:rPr>
        <w:t>(5): e60808.</w:t>
      </w:r>
      <w:bookmarkEnd w:id="39"/>
    </w:p>
    <w:p w:rsidR="00DD06E2" w:rsidRPr="00DD06E2" w:rsidRDefault="00DD06E2" w:rsidP="00DD06E2">
      <w:pPr>
        <w:pStyle w:val="Quote"/>
        <w:spacing w:after="0" w:line="240" w:lineRule="auto"/>
        <w:ind w:hanging="720"/>
        <w:rPr>
          <w:rFonts w:ascii="Calibri" w:hAnsi="Calibri"/>
          <w:noProof/>
        </w:rPr>
      </w:pPr>
      <w:bookmarkStart w:id="40" w:name="_ENREF_13"/>
      <w:r w:rsidRPr="00DD06E2">
        <w:rPr>
          <w:rFonts w:ascii="Calibri" w:hAnsi="Calibri"/>
          <w:noProof/>
        </w:rPr>
        <w:lastRenderedPageBreak/>
        <w:t xml:space="preserve">Holmes, A. R. (1969). Operational Constraints on the Stabilization of Money Supply Growth. </w:t>
      </w:r>
      <w:r w:rsidRPr="00DD06E2">
        <w:rPr>
          <w:rFonts w:ascii="Calibri" w:hAnsi="Calibri"/>
          <w:noProof/>
          <w:u w:val="single"/>
        </w:rPr>
        <w:t>Controlling Monetary Aggregates</w:t>
      </w:r>
      <w:r w:rsidRPr="00DD06E2">
        <w:rPr>
          <w:rFonts w:ascii="Calibri" w:hAnsi="Calibri"/>
          <w:noProof/>
        </w:rPr>
        <w:t>. F. E. Morris. Nantucket Island, The Federal Reserve Bank of Boston</w:t>
      </w:r>
      <w:r w:rsidRPr="00DD06E2">
        <w:rPr>
          <w:rFonts w:ascii="Calibri" w:hAnsi="Calibri"/>
          <w:b/>
          <w:noProof/>
        </w:rPr>
        <w:t xml:space="preserve">: </w:t>
      </w:r>
      <w:r w:rsidRPr="00DD06E2">
        <w:rPr>
          <w:rFonts w:ascii="Calibri" w:hAnsi="Calibri"/>
          <w:noProof/>
        </w:rPr>
        <w:t>65-77.</w:t>
      </w:r>
      <w:bookmarkEnd w:id="40"/>
    </w:p>
    <w:p w:rsidR="00DD06E2" w:rsidRPr="00DD06E2" w:rsidRDefault="00DD06E2" w:rsidP="00DD06E2">
      <w:pPr>
        <w:pStyle w:val="Quote"/>
        <w:spacing w:after="0" w:line="240" w:lineRule="auto"/>
        <w:ind w:hanging="720"/>
        <w:rPr>
          <w:rFonts w:ascii="Calibri" w:hAnsi="Calibri"/>
          <w:noProof/>
        </w:rPr>
      </w:pPr>
      <w:bookmarkStart w:id="41" w:name="_ENREF_14"/>
      <w:r w:rsidRPr="00DD06E2">
        <w:rPr>
          <w:rFonts w:ascii="Calibri" w:hAnsi="Calibri"/>
          <w:noProof/>
        </w:rPr>
        <w:t xml:space="preserve">Ireland, P. N. (2011). "A New Keynesian Perspective on the Great Recession." </w:t>
      </w:r>
      <w:r w:rsidRPr="00DD06E2">
        <w:rPr>
          <w:rFonts w:ascii="Calibri" w:hAnsi="Calibri"/>
          <w:noProof/>
          <w:u w:val="single"/>
        </w:rPr>
        <w:t>Journal of Money, Credit, and Banking</w:t>
      </w:r>
      <w:r w:rsidRPr="00DD06E2">
        <w:rPr>
          <w:rFonts w:ascii="Calibri" w:hAnsi="Calibri"/>
          <w:noProof/>
        </w:rPr>
        <w:t xml:space="preserve"> </w:t>
      </w:r>
      <w:r w:rsidRPr="00DD06E2">
        <w:rPr>
          <w:rFonts w:ascii="Calibri" w:hAnsi="Calibri"/>
          <w:b/>
          <w:noProof/>
        </w:rPr>
        <w:t>43</w:t>
      </w:r>
      <w:r w:rsidRPr="00DD06E2">
        <w:rPr>
          <w:rFonts w:ascii="Calibri" w:hAnsi="Calibri"/>
          <w:noProof/>
        </w:rPr>
        <w:t>(1): 31-54.</w:t>
      </w:r>
      <w:bookmarkEnd w:id="41"/>
    </w:p>
    <w:p w:rsidR="00DD06E2" w:rsidRPr="00DD06E2" w:rsidRDefault="00DD06E2" w:rsidP="00DD06E2">
      <w:pPr>
        <w:pStyle w:val="Quote"/>
        <w:spacing w:after="0" w:line="240" w:lineRule="auto"/>
        <w:ind w:hanging="720"/>
        <w:rPr>
          <w:rFonts w:ascii="Calibri" w:hAnsi="Calibri"/>
          <w:noProof/>
        </w:rPr>
      </w:pPr>
      <w:bookmarkStart w:id="42" w:name="_ENREF_15"/>
      <w:r w:rsidRPr="00DD06E2">
        <w:rPr>
          <w:rFonts w:ascii="Calibri" w:hAnsi="Calibri"/>
          <w:noProof/>
        </w:rPr>
        <w:t xml:space="preserve">Keen, S. (1995). "Finance and Economic Breakdown: Modeling Minsky's 'Financial Instability Hypothesis.'." </w:t>
      </w:r>
      <w:r w:rsidRPr="00DD06E2">
        <w:rPr>
          <w:rFonts w:ascii="Calibri" w:hAnsi="Calibri"/>
          <w:noProof/>
          <w:u w:val="single"/>
        </w:rPr>
        <w:t>Journal of Post Keynesian Economics</w:t>
      </w:r>
      <w:r w:rsidRPr="00DD06E2">
        <w:rPr>
          <w:rFonts w:ascii="Calibri" w:hAnsi="Calibri"/>
          <w:noProof/>
        </w:rPr>
        <w:t xml:space="preserve"> </w:t>
      </w:r>
      <w:r w:rsidRPr="00DD06E2">
        <w:rPr>
          <w:rFonts w:ascii="Calibri" w:hAnsi="Calibri"/>
          <w:b/>
          <w:noProof/>
        </w:rPr>
        <w:t>17</w:t>
      </w:r>
      <w:r w:rsidRPr="00DD06E2">
        <w:rPr>
          <w:rFonts w:ascii="Calibri" w:hAnsi="Calibri"/>
          <w:noProof/>
        </w:rPr>
        <w:t>(4): 607-635.</w:t>
      </w:r>
      <w:bookmarkEnd w:id="42"/>
    </w:p>
    <w:p w:rsidR="00DD06E2" w:rsidRPr="00DD06E2" w:rsidRDefault="00DD06E2" w:rsidP="00DD06E2">
      <w:pPr>
        <w:pStyle w:val="Quote"/>
        <w:spacing w:after="0" w:line="240" w:lineRule="auto"/>
        <w:ind w:hanging="720"/>
        <w:rPr>
          <w:rFonts w:ascii="Calibri" w:hAnsi="Calibri"/>
          <w:noProof/>
        </w:rPr>
      </w:pPr>
      <w:bookmarkStart w:id="43" w:name="_ENREF_16"/>
      <w:r w:rsidRPr="00DD06E2">
        <w:rPr>
          <w:rFonts w:ascii="Calibri" w:hAnsi="Calibri"/>
          <w:noProof/>
        </w:rPr>
        <w:t xml:space="preserve">Keen, S. (2011). </w:t>
      </w:r>
      <w:r w:rsidRPr="00DD06E2">
        <w:rPr>
          <w:rFonts w:ascii="Calibri" w:hAnsi="Calibri"/>
          <w:noProof/>
          <w:u w:val="single"/>
        </w:rPr>
        <w:t>Debunking economics: The naked emperor dethroned?</w:t>
      </w:r>
      <w:r w:rsidRPr="00DD06E2">
        <w:rPr>
          <w:rFonts w:ascii="Calibri" w:hAnsi="Calibri"/>
          <w:noProof/>
        </w:rPr>
        <w:t xml:space="preserve"> London, Zed Books.</w:t>
      </w:r>
      <w:bookmarkEnd w:id="43"/>
    </w:p>
    <w:p w:rsidR="00DD06E2" w:rsidRPr="00DD06E2" w:rsidRDefault="00DD06E2" w:rsidP="00DD06E2">
      <w:pPr>
        <w:pStyle w:val="Quote"/>
        <w:spacing w:after="0" w:line="240" w:lineRule="auto"/>
        <w:ind w:hanging="720"/>
        <w:rPr>
          <w:rFonts w:ascii="Calibri" w:hAnsi="Calibri"/>
          <w:noProof/>
        </w:rPr>
      </w:pPr>
      <w:bookmarkStart w:id="44" w:name="_ENREF_17"/>
      <w:r w:rsidRPr="00DD06E2">
        <w:rPr>
          <w:rFonts w:ascii="Calibri" w:hAnsi="Calibri"/>
          <w:noProof/>
        </w:rPr>
        <w:t xml:space="preserve">Keynes, J. M. (1936). </w:t>
      </w:r>
      <w:r w:rsidRPr="00DD06E2">
        <w:rPr>
          <w:rFonts w:ascii="Calibri" w:hAnsi="Calibri"/>
          <w:noProof/>
          <w:u w:val="single"/>
        </w:rPr>
        <w:t>The general theory of employment, interest and money</w:t>
      </w:r>
      <w:r w:rsidRPr="00DD06E2">
        <w:rPr>
          <w:rFonts w:ascii="Calibri" w:hAnsi="Calibri"/>
          <w:noProof/>
        </w:rPr>
        <w:t>. London, Macmillan.</w:t>
      </w:r>
      <w:bookmarkEnd w:id="44"/>
    </w:p>
    <w:p w:rsidR="00DD06E2" w:rsidRPr="00DD06E2" w:rsidRDefault="00DD06E2" w:rsidP="00DD06E2">
      <w:pPr>
        <w:pStyle w:val="Quote"/>
        <w:spacing w:after="0" w:line="240" w:lineRule="auto"/>
        <w:ind w:hanging="720"/>
        <w:rPr>
          <w:rFonts w:ascii="Calibri" w:hAnsi="Calibri"/>
          <w:noProof/>
        </w:rPr>
      </w:pPr>
      <w:bookmarkStart w:id="45" w:name="_ENREF_18"/>
      <w:r w:rsidRPr="00DD06E2">
        <w:rPr>
          <w:rFonts w:ascii="Calibri" w:hAnsi="Calibri"/>
          <w:noProof/>
        </w:rPr>
        <w:t xml:space="preserve">Krugman, P. (2012). </w:t>
      </w:r>
      <w:r w:rsidRPr="00DD06E2">
        <w:rPr>
          <w:rFonts w:ascii="Calibri" w:hAnsi="Calibri"/>
          <w:noProof/>
          <w:u w:val="single"/>
        </w:rPr>
        <w:t>End this Depression Now!</w:t>
      </w:r>
      <w:r w:rsidRPr="00DD06E2">
        <w:rPr>
          <w:rFonts w:ascii="Calibri" w:hAnsi="Calibri"/>
          <w:noProof/>
        </w:rPr>
        <w:t xml:space="preserve"> New York, W.W. Norton.</w:t>
      </w:r>
      <w:bookmarkEnd w:id="45"/>
    </w:p>
    <w:p w:rsidR="00DD06E2" w:rsidRPr="00DD06E2" w:rsidRDefault="00DD06E2" w:rsidP="00DD06E2">
      <w:pPr>
        <w:pStyle w:val="Quote"/>
        <w:spacing w:after="0" w:line="240" w:lineRule="auto"/>
        <w:ind w:hanging="720"/>
        <w:rPr>
          <w:rFonts w:ascii="Calibri" w:hAnsi="Calibri"/>
          <w:noProof/>
        </w:rPr>
      </w:pPr>
      <w:bookmarkStart w:id="46" w:name="_ENREF_19"/>
      <w:r w:rsidRPr="00DD06E2">
        <w:rPr>
          <w:rFonts w:ascii="Calibri" w:hAnsi="Calibri"/>
          <w:noProof/>
        </w:rPr>
        <w:t xml:space="preserve">Kydland, F. E. and E. C. Prescott (1990). "Business Cycles: Real Facts and a Monetary Myth." </w:t>
      </w:r>
      <w:r w:rsidRPr="00DD06E2">
        <w:rPr>
          <w:rFonts w:ascii="Calibri" w:hAnsi="Calibri"/>
          <w:noProof/>
          <w:u w:val="single"/>
        </w:rPr>
        <w:t>Federal Reserve Bank of Minneapolis Quarterly Review</w:t>
      </w:r>
      <w:r w:rsidRPr="00DD06E2">
        <w:rPr>
          <w:rFonts w:ascii="Calibri" w:hAnsi="Calibri"/>
          <w:noProof/>
        </w:rPr>
        <w:t xml:space="preserve"> </w:t>
      </w:r>
      <w:r w:rsidRPr="00DD06E2">
        <w:rPr>
          <w:rFonts w:ascii="Calibri" w:hAnsi="Calibri"/>
          <w:b/>
          <w:noProof/>
        </w:rPr>
        <w:t>14</w:t>
      </w:r>
      <w:r w:rsidRPr="00DD06E2">
        <w:rPr>
          <w:rFonts w:ascii="Calibri" w:hAnsi="Calibri"/>
          <w:noProof/>
        </w:rPr>
        <w:t>(2): 3-18.</w:t>
      </w:r>
      <w:bookmarkEnd w:id="46"/>
    </w:p>
    <w:p w:rsidR="00DD06E2" w:rsidRPr="00DD06E2" w:rsidRDefault="00DD06E2" w:rsidP="00DD06E2">
      <w:pPr>
        <w:pStyle w:val="Quote"/>
        <w:spacing w:after="0" w:line="240" w:lineRule="auto"/>
        <w:ind w:hanging="720"/>
        <w:rPr>
          <w:rFonts w:ascii="Calibri" w:hAnsi="Calibri"/>
          <w:noProof/>
        </w:rPr>
      </w:pPr>
      <w:bookmarkStart w:id="47" w:name="_ENREF_20"/>
      <w:r w:rsidRPr="00DD06E2">
        <w:rPr>
          <w:rFonts w:ascii="Calibri" w:hAnsi="Calibri"/>
          <w:noProof/>
        </w:rPr>
        <w:t xml:space="preserve">Moore, B. J. (1979). "The Endogenous Money Stock." </w:t>
      </w:r>
      <w:r w:rsidRPr="00DD06E2">
        <w:rPr>
          <w:rFonts w:ascii="Calibri" w:hAnsi="Calibri"/>
          <w:noProof/>
          <w:u w:val="single"/>
        </w:rPr>
        <w:t>Journal of Post Keynesian Economics</w:t>
      </w:r>
      <w:r w:rsidRPr="00DD06E2">
        <w:rPr>
          <w:rFonts w:ascii="Calibri" w:hAnsi="Calibri"/>
          <w:noProof/>
        </w:rPr>
        <w:t xml:space="preserve"> </w:t>
      </w:r>
      <w:r w:rsidRPr="00DD06E2">
        <w:rPr>
          <w:rFonts w:ascii="Calibri" w:hAnsi="Calibri"/>
          <w:b/>
          <w:noProof/>
        </w:rPr>
        <w:t>2</w:t>
      </w:r>
      <w:r w:rsidRPr="00DD06E2">
        <w:rPr>
          <w:rFonts w:ascii="Calibri" w:hAnsi="Calibri"/>
          <w:noProof/>
        </w:rPr>
        <w:t>(1): 49-70.</w:t>
      </w:r>
      <w:bookmarkEnd w:id="47"/>
    </w:p>
    <w:p w:rsidR="00DD06E2" w:rsidRPr="00DD06E2" w:rsidRDefault="00DD06E2" w:rsidP="00DD06E2">
      <w:pPr>
        <w:pStyle w:val="Quote"/>
        <w:spacing w:after="0" w:line="240" w:lineRule="auto"/>
        <w:ind w:hanging="720"/>
        <w:rPr>
          <w:rFonts w:ascii="Calibri" w:hAnsi="Calibri"/>
          <w:noProof/>
        </w:rPr>
      </w:pPr>
      <w:bookmarkStart w:id="48" w:name="_ENREF_21"/>
      <w:r w:rsidRPr="00DD06E2">
        <w:rPr>
          <w:rFonts w:ascii="Calibri" w:hAnsi="Calibri"/>
          <w:noProof/>
        </w:rPr>
        <w:t xml:space="preserve">Moore, B. J. (1983). "Unpacking the Post Keynesian Black Box: Bank Lending and the Money Supply." </w:t>
      </w:r>
      <w:r w:rsidRPr="00DD06E2">
        <w:rPr>
          <w:rFonts w:ascii="Calibri" w:hAnsi="Calibri"/>
          <w:noProof/>
          <w:u w:val="single"/>
        </w:rPr>
        <w:t>Journal of Post Keynesian Economics</w:t>
      </w:r>
      <w:r w:rsidRPr="00DD06E2">
        <w:rPr>
          <w:rFonts w:ascii="Calibri" w:hAnsi="Calibri"/>
          <w:noProof/>
        </w:rPr>
        <w:t xml:space="preserve"> </w:t>
      </w:r>
      <w:r w:rsidRPr="00DD06E2">
        <w:rPr>
          <w:rFonts w:ascii="Calibri" w:hAnsi="Calibri"/>
          <w:b/>
          <w:noProof/>
        </w:rPr>
        <w:t>5</w:t>
      </w:r>
      <w:r w:rsidRPr="00DD06E2">
        <w:rPr>
          <w:rFonts w:ascii="Calibri" w:hAnsi="Calibri"/>
          <w:noProof/>
        </w:rPr>
        <w:t>(4): 537-556.</w:t>
      </w:r>
      <w:bookmarkEnd w:id="48"/>
    </w:p>
    <w:p w:rsidR="00DD06E2" w:rsidRPr="00DD06E2" w:rsidRDefault="00DD06E2" w:rsidP="00DD06E2">
      <w:pPr>
        <w:pStyle w:val="Quote"/>
        <w:spacing w:after="0" w:line="240" w:lineRule="auto"/>
        <w:ind w:hanging="720"/>
        <w:rPr>
          <w:rFonts w:ascii="Calibri" w:hAnsi="Calibri"/>
          <w:noProof/>
        </w:rPr>
      </w:pPr>
      <w:bookmarkStart w:id="49" w:name="_ENREF_22"/>
      <w:r w:rsidRPr="00DD06E2">
        <w:rPr>
          <w:rFonts w:ascii="Calibri" w:hAnsi="Calibri"/>
          <w:noProof/>
        </w:rPr>
        <w:t xml:space="preserve">Moore, B. J. (1988). "The Endogenous Money Supply." </w:t>
      </w:r>
      <w:r w:rsidRPr="00DD06E2">
        <w:rPr>
          <w:rFonts w:ascii="Calibri" w:hAnsi="Calibri"/>
          <w:noProof/>
          <w:u w:val="single"/>
        </w:rPr>
        <w:t>Journal of Post Keynesian Economics</w:t>
      </w:r>
      <w:r w:rsidRPr="00DD06E2">
        <w:rPr>
          <w:rFonts w:ascii="Calibri" w:hAnsi="Calibri"/>
          <w:noProof/>
        </w:rPr>
        <w:t xml:space="preserve"> </w:t>
      </w:r>
      <w:r w:rsidRPr="00DD06E2">
        <w:rPr>
          <w:rFonts w:ascii="Calibri" w:hAnsi="Calibri"/>
          <w:b/>
          <w:noProof/>
        </w:rPr>
        <w:t>10</w:t>
      </w:r>
      <w:r w:rsidRPr="00DD06E2">
        <w:rPr>
          <w:rFonts w:ascii="Calibri" w:hAnsi="Calibri"/>
          <w:noProof/>
        </w:rPr>
        <w:t>(3): 372-385.</w:t>
      </w:r>
      <w:bookmarkEnd w:id="49"/>
    </w:p>
    <w:p w:rsidR="00DD06E2" w:rsidRPr="00DD06E2" w:rsidRDefault="00DD06E2" w:rsidP="00DD06E2">
      <w:pPr>
        <w:pStyle w:val="Quote"/>
        <w:spacing w:after="0" w:line="240" w:lineRule="auto"/>
        <w:ind w:hanging="720"/>
        <w:rPr>
          <w:rFonts w:ascii="Calibri" w:hAnsi="Calibri"/>
          <w:noProof/>
        </w:rPr>
      </w:pPr>
      <w:bookmarkStart w:id="50" w:name="_ENREF_23"/>
      <w:r w:rsidRPr="00DD06E2">
        <w:rPr>
          <w:rFonts w:ascii="Calibri" w:hAnsi="Calibri"/>
          <w:noProof/>
        </w:rPr>
        <w:t xml:space="preserve">Moore, B. J. (1988). </w:t>
      </w:r>
      <w:r w:rsidRPr="00DD06E2">
        <w:rPr>
          <w:rFonts w:ascii="Calibri" w:hAnsi="Calibri"/>
          <w:noProof/>
          <w:u w:val="single"/>
        </w:rPr>
        <w:t>Horizontalists and Verticalists: The Macroeconomics of Credit Money</w:t>
      </w:r>
      <w:r w:rsidRPr="00DD06E2">
        <w:rPr>
          <w:rFonts w:ascii="Calibri" w:hAnsi="Calibri"/>
          <w:noProof/>
        </w:rPr>
        <w:t>. Cambridge, Cambridge University Press.</w:t>
      </w:r>
      <w:bookmarkEnd w:id="50"/>
    </w:p>
    <w:p w:rsidR="00DD06E2" w:rsidRPr="00DD06E2" w:rsidRDefault="00DD06E2" w:rsidP="00DD06E2">
      <w:pPr>
        <w:pStyle w:val="Quote"/>
        <w:spacing w:after="0" w:line="240" w:lineRule="auto"/>
        <w:ind w:hanging="720"/>
        <w:rPr>
          <w:rFonts w:ascii="Calibri" w:hAnsi="Calibri"/>
          <w:noProof/>
        </w:rPr>
      </w:pPr>
      <w:bookmarkStart w:id="51" w:name="_ENREF_24"/>
      <w:r w:rsidRPr="00DD06E2">
        <w:rPr>
          <w:rFonts w:ascii="Calibri" w:hAnsi="Calibri"/>
          <w:noProof/>
        </w:rPr>
        <w:t xml:space="preserve">Moore, B. J. (1997). "Reconciliation of the Supply and Demand for Endogenous Money." </w:t>
      </w:r>
      <w:r w:rsidRPr="00DD06E2">
        <w:rPr>
          <w:rFonts w:ascii="Calibri" w:hAnsi="Calibri"/>
          <w:noProof/>
          <w:u w:val="single"/>
        </w:rPr>
        <w:t>Journal of Post Keynesian Economics</w:t>
      </w:r>
      <w:r w:rsidRPr="00DD06E2">
        <w:rPr>
          <w:rFonts w:ascii="Calibri" w:hAnsi="Calibri"/>
          <w:noProof/>
        </w:rPr>
        <w:t xml:space="preserve"> </w:t>
      </w:r>
      <w:r w:rsidRPr="00DD06E2">
        <w:rPr>
          <w:rFonts w:ascii="Calibri" w:hAnsi="Calibri"/>
          <w:b/>
          <w:noProof/>
        </w:rPr>
        <w:t>19</w:t>
      </w:r>
      <w:r w:rsidRPr="00DD06E2">
        <w:rPr>
          <w:rFonts w:ascii="Calibri" w:hAnsi="Calibri"/>
          <w:noProof/>
        </w:rPr>
        <w:t>(3): 423-428.</w:t>
      </w:r>
      <w:bookmarkEnd w:id="51"/>
    </w:p>
    <w:p w:rsidR="00DD06E2" w:rsidRPr="00DD06E2" w:rsidRDefault="00DD06E2" w:rsidP="00DD06E2">
      <w:pPr>
        <w:pStyle w:val="Quote"/>
        <w:spacing w:after="0" w:line="240" w:lineRule="auto"/>
        <w:ind w:hanging="720"/>
        <w:rPr>
          <w:rFonts w:ascii="Calibri" w:hAnsi="Calibri"/>
          <w:noProof/>
        </w:rPr>
      </w:pPr>
      <w:bookmarkStart w:id="52" w:name="_ENREF_25"/>
      <w:r w:rsidRPr="00DD06E2">
        <w:rPr>
          <w:rFonts w:ascii="Calibri" w:hAnsi="Calibri"/>
          <w:noProof/>
        </w:rPr>
        <w:t xml:space="preserve">Moore, B. J. (2001). Some Reflections on Endogenous Money. </w:t>
      </w:r>
      <w:r w:rsidRPr="00DD06E2">
        <w:rPr>
          <w:rFonts w:ascii="Calibri" w:hAnsi="Calibri"/>
          <w:noProof/>
          <w:u w:val="single"/>
        </w:rPr>
        <w:t>Credit, interest rates and the open economy: Essays on horizontalism</w:t>
      </w:r>
      <w:r w:rsidRPr="00DD06E2">
        <w:rPr>
          <w:rFonts w:ascii="Calibri" w:hAnsi="Calibri"/>
          <w:noProof/>
        </w:rPr>
        <w:t>. L.-P. Rochon and M. Vernengo. Edward Elgar, Cheltenham</w:t>
      </w:r>
      <w:r w:rsidRPr="00DD06E2">
        <w:rPr>
          <w:rFonts w:ascii="Calibri" w:hAnsi="Calibri"/>
          <w:b/>
          <w:noProof/>
        </w:rPr>
        <w:t xml:space="preserve">: </w:t>
      </w:r>
      <w:r w:rsidRPr="00DD06E2">
        <w:rPr>
          <w:rFonts w:ascii="Calibri" w:hAnsi="Calibri"/>
          <w:noProof/>
        </w:rPr>
        <w:t>11-30.</w:t>
      </w:r>
      <w:bookmarkEnd w:id="52"/>
    </w:p>
    <w:p w:rsidR="00DD06E2" w:rsidRPr="00DD06E2" w:rsidRDefault="00DD06E2" w:rsidP="00DD06E2">
      <w:pPr>
        <w:pStyle w:val="Quote"/>
        <w:spacing w:line="240" w:lineRule="auto"/>
        <w:ind w:hanging="720"/>
        <w:rPr>
          <w:rFonts w:ascii="Calibri" w:hAnsi="Calibri"/>
          <w:noProof/>
        </w:rPr>
      </w:pPr>
      <w:bookmarkStart w:id="53" w:name="_ENREF_26"/>
      <w:r w:rsidRPr="00DD06E2">
        <w:rPr>
          <w:rFonts w:ascii="Calibri" w:hAnsi="Calibri"/>
          <w:noProof/>
        </w:rPr>
        <w:t xml:space="preserve">O'Brien, Y.-Y. J. C. (2007). "Reserve Requirement Systems in OECD Countries." </w:t>
      </w:r>
      <w:r w:rsidRPr="00DD06E2">
        <w:rPr>
          <w:rFonts w:ascii="Calibri" w:hAnsi="Calibri"/>
          <w:noProof/>
          <w:u w:val="single"/>
        </w:rPr>
        <w:t>SSRN eLibrary</w:t>
      </w:r>
      <w:r w:rsidRPr="00DD06E2">
        <w:rPr>
          <w:rFonts w:ascii="Calibri" w:hAnsi="Calibri"/>
          <w:noProof/>
        </w:rPr>
        <w:t>.</w:t>
      </w:r>
      <w:bookmarkEnd w:id="53"/>
    </w:p>
    <w:p w:rsidR="00DD06E2" w:rsidRDefault="00DD06E2" w:rsidP="00DD06E2">
      <w:pPr>
        <w:pStyle w:val="Quote"/>
        <w:spacing w:line="240" w:lineRule="auto"/>
        <w:rPr>
          <w:rFonts w:ascii="Calibri" w:hAnsi="Calibri"/>
          <w:noProof/>
        </w:rPr>
      </w:pPr>
    </w:p>
    <w:p w:rsidR="00E356F1" w:rsidRDefault="00E356F1" w:rsidP="00380929">
      <w:pPr>
        <w:pStyle w:val="Quote"/>
      </w:pPr>
      <w:r>
        <w:fldChar w:fldCharType="end"/>
      </w:r>
    </w:p>
    <w:sectPr w:rsidR="00E356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A05" w:rsidRDefault="001A0A05" w:rsidP="00380929">
      <w:r>
        <w:separator/>
      </w:r>
    </w:p>
  </w:endnote>
  <w:endnote w:type="continuationSeparator" w:id="0">
    <w:p w:rsidR="001A0A05" w:rsidRDefault="001A0A05" w:rsidP="00380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A05" w:rsidRDefault="001A0A05" w:rsidP="00380929">
      <w:r>
        <w:separator/>
      </w:r>
    </w:p>
  </w:footnote>
  <w:footnote w:type="continuationSeparator" w:id="0">
    <w:p w:rsidR="001A0A05" w:rsidRDefault="001A0A05" w:rsidP="00380929">
      <w:r>
        <w:continuationSeparator/>
      </w:r>
    </w:p>
  </w:footnote>
  <w:footnote w:id="1">
    <w:p w:rsidR="008506CF" w:rsidRDefault="008506CF" w:rsidP="00380929">
      <w:pPr>
        <w:pStyle w:val="FootnoteText"/>
      </w:pPr>
      <w:r>
        <w:rPr>
          <w:rStyle w:val="FootnoteReference"/>
        </w:rPr>
        <w:footnoteRef/>
      </w:r>
      <w:r>
        <w:t xml:space="preserve"> Plus the banking sector’s equity, as I illustrate later.</w:t>
      </w:r>
    </w:p>
  </w:footnote>
  <w:footnote w:id="2">
    <w:p w:rsidR="008506CF" w:rsidRDefault="008506CF">
      <w:pPr>
        <w:pStyle w:val="FootnoteText"/>
      </w:pPr>
      <w:r>
        <w:rPr>
          <w:rStyle w:val="FootnoteReference"/>
        </w:rPr>
        <w:footnoteRef/>
      </w:r>
      <w:r>
        <w:t xml:space="preserve"> All variables are shown as positives in this </w:t>
      </w:r>
      <w:r w:rsidRPr="008C5962">
        <w:t>system dynamics view</w:t>
      </w:r>
      <w:r>
        <w:t>, since it</w:t>
      </w:r>
      <w:r w:rsidRPr="008C5962">
        <w:t xml:space="preserve"> looks at the economy</w:t>
      </w:r>
      <w:r>
        <w:t xml:space="preserve"> as a whole, rather than from the point of view of any single agent.</w:t>
      </w:r>
    </w:p>
  </w:footnote>
  <w:footnote w:id="3">
    <w:p w:rsidR="008506CF" w:rsidRDefault="008506CF">
      <w:pPr>
        <w:pStyle w:val="FootnoteText"/>
      </w:pPr>
      <w:r>
        <w:rPr>
          <w:rStyle w:val="FootnoteReference"/>
        </w:rPr>
        <w:footnoteRef/>
      </w:r>
      <w:r>
        <w:t xml:space="preserve"> In the table this would show up as a positive number, since again this table portrays the reserves of private banks as liabilities of the Central Bank, and hence as negative quantities.</w:t>
      </w:r>
    </w:p>
  </w:footnote>
  <w:footnote w:id="4">
    <w:p w:rsidR="008506CF" w:rsidRPr="00CA03CC" w:rsidRDefault="008506CF">
      <w:pPr>
        <w:pStyle w:val="FootnoteText"/>
        <w:rPr>
          <w:lang w:val="en-AU"/>
        </w:rPr>
      </w:pPr>
      <w:r>
        <w:rPr>
          <w:rStyle w:val="FootnoteReference"/>
        </w:rPr>
        <w:footnoteRef/>
      </w:r>
      <w:r>
        <w:t xml:space="preserve"> </w:t>
      </w:r>
      <w:r w:rsidRPr="00CA03CC">
        <w:t>The model also uses time constants</w:t>
      </w:r>
      <w:r>
        <w:t xml:space="preserve"> as parameters, so that parameter for the rate of lending </w:t>
      </w:r>
      <w:r w:rsidRPr="00CA03CC">
        <w:rPr>
          <w:rFonts w:ascii="Symbol" w:hAnsi="Symbol"/>
          <w:i/>
        </w:rPr>
        <w:t></w:t>
      </w:r>
      <w:r w:rsidRPr="00CA03CC">
        <w:rPr>
          <w:i/>
          <w:vertAlign w:val="subscript"/>
        </w:rPr>
        <w:t>L</w:t>
      </w:r>
      <w:r>
        <w:t xml:space="preserve"> has the value of 7 (years)—indicating that if this inflow kept up at its initial rate and was the only outflow from the account (with no other inflows) then lending would empty Patient’s account after 7 years.</w:t>
      </w:r>
    </w:p>
  </w:footnote>
  <w:footnote w:id="5">
    <w:p w:rsidR="008506CF" w:rsidRPr="00F74585" w:rsidRDefault="008506CF">
      <w:pPr>
        <w:pStyle w:val="FootnoteText"/>
        <w:rPr>
          <w:lang w:val="en-AU"/>
        </w:rPr>
      </w:pPr>
      <w:r>
        <w:rPr>
          <w:rStyle w:val="FootnoteReference"/>
        </w:rPr>
        <w:footnoteRef/>
      </w:r>
      <w:r>
        <w:t xml:space="preserve"> </w:t>
      </w:r>
      <w:r>
        <w:rPr>
          <w:lang w:val="en-AU"/>
        </w:rPr>
        <w:t xml:space="preserve">This would be determined by system dynamics in a more complete and explicit model.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avereev0mavvele2e0pvtaw6xzxpwd0tpdv5&quot;&gt;Economics-Saved&lt;record-ids&gt;&lt;item&gt;126&lt;/item&gt;&lt;item&gt;132&lt;/item&gt;&lt;item&gt;152&lt;/item&gt;&lt;item&gt;279&lt;/item&gt;&lt;item&gt;314&lt;/item&gt;&lt;item&gt;322&lt;/item&gt;&lt;item&gt;363&lt;/item&gt;&lt;item&gt;368&lt;/item&gt;&lt;item&gt;1084&lt;/item&gt;&lt;item&gt;1098&lt;/item&gt;&lt;item&gt;1126&lt;/item&gt;&lt;item&gt;1263&lt;/item&gt;&lt;item&gt;1411&lt;/item&gt;&lt;item&gt;1449&lt;/item&gt;&lt;item&gt;1451&lt;/item&gt;&lt;item&gt;1452&lt;/item&gt;&lt;item&gt;2087&lt;/item&gt;&lt;item&gt;2091&lt;/item&gt;&lt;item&gt;2215&lt;/item&gt;&lt;item&gt;2701&lt;/item&gt;&lt;item&gt;3280&lt;/item&gt;&lt;item&gt;4110&lt;/item&gt;&lt;item&gt;4181&lt;/item&gt;&lt;item&gt;4630&lt;/item&gt;&lt;item&gt;4634&lt;/item&gt;&lt;/record-ids&gt;&lt;/item&gt;&lt;/Libraries&gt;"/>
  </w:docVars>
  <w:rsids>
    <w:rsidRoot w:val="003D49DD"/>
    <w:rsid w:val="00014468"/>
    <w:rsid w:val="00015617"/>
    <w:rsid w:val="0005518E"/>
    <w:rsid w:val="00056553"/>
    <w:rsid w:val="00057C86"/>
    <w:rsid w:val="000646E5"/>
    <w:rsid w:val="00064B15"/>
    <w:rsid w:val="0006610C"/>
    <w:rsid w:val="000670EB"/>
    <w:rsid w:val="00080BFB"/>
    <w:rsid w:val="000D386A"/>
    <w:rsid w:val="000E65BC"/>
    <w:rsid w:val="000E7ADD"/>
    <w:rsid w:val="000F3A0F"/>
    <w:rsid w:val="000F4C0D"/>
    <w:rsid w:val="00113FF5"/>
    <w:rsid w:val="00130497"/>
    <w:rsid w:val="0013089D"/>
    <w:rsid w:val="001310D5"/>
    <w:rsid w:val="0013607C"/>
    <w:rsid w:val="00145572"/>
    <w:rsid w:val="0016599B"/>
    <w:rsid w:val="00171A6F"/>
    <w:rsid w:val="00180AD7"/>
    <w:rsid w:val="00195CFB"/>
    <w:rsid w:val="001A0A05"/>
    <w:rsid w:val="001B1689"/>
    <w:rsid w:val="001B1F9F"/>
    <w:rsid w:val="001B20A7"/>
    <w:rsid w:val="002003D6"/>
    <w:rsid w:val="0020086E"/>
    <w:rsid w:val="002149A2"/>
    <w:rsid w:val="002418EE"/>
    <w:rsid w:val="002471F7"/>
    <w:rsid w:val="0025153A"/>
    <w:rsid w:val="00256D4C"/>
    <w:rsid w:val="00264BFE"/>
    <w:rsid w:val="00276801"/>
    <w:rsid w:val="00290FB9"/>
    <w:rsid w:val="002913BE"/>
    <w:rsid w:val="00297AE3"/>
    <w:rsid w:val="002A472C"/>
    <w:rsid w:val="002A5381"/>
    <w:rsid w:val="002B28DE"/>
    <w:rsid w:val="002B5C84"/>
    <w:rsid w:val="002C56FF"/>
    <w:rsid w:val="002F7A43"/>
    <w:rsid w:val="00306D95"/>
    <w:rsid w:val="0031060E"/>
    <w:rsid w:val="00316177"/>
    <w:rsid w:val="003331C6"/>
    <w:rsid w:val="00345B78"/>
    <w:rsid w:val="00345E59"/>
    <w:rsid w:val="00360D7E"/>
    <w:rsid w:val="00364C03"/>
    <w:rsid w:val="00380929"/>
    <w:rsid w:val="00395713"/>
    <w:rsid w:val="00396A62"/>
    <w:rsid w:val="003A1FC2"/>
    <w:rsid w:val="003B4614"/>
    <w:rsid w:val="003D49DD"/>
    <w:rsid w:val="003F0E79"/>
    <w:rsid w:val="003F4873"/>
    <w:rsid w:val="00415CFD"/>
    <w:rsid w:val="00417F15"/>
    <w:rsid w:val="00430D62"/>
    <w:rsid w:val="00446080"/>
    <w:rsid w:val="00456728"/>
    <w:rsid w:val="00492A37"/>
    <w:rsid w:val="004B78A7"/>
    <w:rsid w:val="004C77DF"/>
    <w:rsid w:val="004D33B1"/>
    <w:rsid w:val="004E1666"/>
    <w:rsid w:val="004F5434"/>
    <w:rsid w:val="004F7B0A"/>
    <w:rsid w:val="00515E4F"/>
    <w:rsid w:val="00522AE9"/>
    <w:rsid w:val="00522E80"/>
    <w:rsid w:val="00530A35"/>
    <w:rsid w:val="00533A53"/>
    <w:rsid w:val="005477E1"/>
    <w:rsid w:val="00583661"/>
    <w:rsid w:val="00586304"/>
    <w:rsid w:val="005A4519"/>
    <w:rsid w:val="005F10BE"/>
    <w:rsid w:val="005F2D19"/>
    <w:rsid w:val="006167B6"/>
    <w:rsid w:val="00652E7C"/>
    <w:rsid w:val="006531AE"/>
    <w:rsid w:val="00657644"/>
    <w:rsid w:val="00660BDA"/>
    <w:rsid w:val="006668D7"/>
    <w:rsid w:val="00666D05"/>
    <w:rsid w:val="006704B9"/>
    <w:rsid w:val="00672944"/>
    <w:rsid w:val="00683D60"/>
    <w:rsid w:val="00684EE9"/>
    <w:rsid w:val="006877D1"/>
    <w:rsid w:val="006A6303"/>
    <w:rsid w:val="006B6577"/>
    <w:rsid w:val="006B68DA"/>
    <w:rsid w:val="006C1863"/>
    <w:rsid w:val="006E2839"/>
    <w:rsid w:val="006F04E1"/>
    <w:rsid w:val="006F66DB"/>
    <w:rsid w:val="00705811"/>
    <w:rsid w:val="00712ED5"/>
    <w:rsid w:val="0071306A"/>
    <w:rsid w:val="00716887"/>
    <w:rsid w:val="0073732C"/>
    <w:rsid w:val="00747720"/>
    <w:rsid w:val="00752F0B"/>
    <w:rsid w:val="0075554B"/>
    <w:rsid w:val="00757729"/>
    <w:rsid w:val="007727EC"/>
    <w:rsid w:val="007934B3"/>
    <w:rsid w:val="00794C9E"/>
    <w:rsid w:val="007A767A"/>
    <w:rsid w:val="007A7888"/>
    <w:rsid w:val="007C0CFD"/>
    <w:rsid w:val="007D03CD"/>
    <w:rsid w:val="007E0636"/>
    <w:rsid w:val="007E0E3A"/>
    <w:rsid w:val="007E1F0F"/>
    <w:rsid w:val="007E3BBF"/>
    <w:rsid w:val="007E614D"/>
    <w:rsid w:val="00801A7E"/>
    <w:rsid w:val="0080798C"/>
    <w:rsid w:val="00825071"/>
    <w:rsid w:val="0082675F"/>
    <w:rsid w:val="008506CF"/>
    <w:rsid w:val="00853B53"/>
    <w:rsid w:val="00855848"/>
    <w:rsid w:val="008643CA"/>
    <w:rsid w:val="00866A50"/>
    <w:rsid w:val="0087001E"/>
    <w:rsid w:val="00876D42"/>
    <w:rsid w:val="00882C95"/>
    <w:rsid w:val="00892D90"/>
    <w:rsid w:val="008B2842"/>
    <w:rsid w:val="008B28D6"/>
    <w:rsid w:val="008C2F77"/>
    <w:rsid w:val="008C5962"/>
    <w:rsid w:val="008D7B8C"/>
    <w:rsid w:val="008E4045"/>
    <w:rsid w:val="008E74B1"/>
    <w:rsid w:val="008F6AF8"/>
    <w:rsid w:val="00920F47"/>
    <w:rsid w:val="00923A3E"/>
    <w:rsid w:val="009312E4"/>
    <w:rsid w:val="00935842"/>
    <w:rsid w:val="00935EA7"/>
    <w:rsid w:val="0093717A"/>
    <w:rsid w:val="009505AF"/>
    <w:rsid w:val="00963EF0"/>
    <w:rsid w:val="00964871"/>
    <w:rsid w:val="0096606F"/>
    <w:rsid w:val="00981964"/>
    <w:rsid w:val="00984460"/>
    <w:rsid w:val="009A43FF"/>
    <w:rsid w:val="009C5279"/>
    <w:rsid w:val="009D0208"/>
    <w:rsid w:val="009F18F9"/>
    <w:rsid w:val="009F6B50"/>
    <w:rsid w:val="00A019BE"/>
    <w:rsid w:val="00A01DB7"/>
    <w:rsid w:val="00A02235"/>
    <w:rsid w:val="00A02876"/>
    <w:rsid w:val="00A13BD8"/>
    <w:rsid w:val="00A161FF"/>
    <w:rsid w:val="00A301D6"/>
    <w:rsid w:val="00A370B0"/>
    <w:rsid w:val="00A55AA0"/>
    <w:rsid w:val="00A56007"/>
    <w:rsid w:val="00A64614"/>
    <w:rsid w:val="00A65F63"/>
    <w:rsid w:val="00A80E1F"/>
    <w:rsid w:val="00A9145B"/>
    <w:rsid w:val="00AA1389"/>
    <w:rsid w:val="00AA7828"/>
    <w:rsid w:val="00AB484B"/>
    <w:rsid w:val="00AF2D51"/>
    <w:rsid w:val="00B02622"/>
    <w:rsid w:val="00B21D3A"/>
    <w:rsid w:val="00B45D20"/>
    <w:rsid w:val="00B544A5"/>
    <w:rsid w:val="00B60F2B"/>
    <w:rsid w:val="00B64F66"/>
    <w:rsid w:val="00B65A96"/>
    <w:rsid w:val="00B811A1"/>
    <w:rsid w:val="00B94F4F"/>
    <w:rsid w:val="00B95401"/>
    <w:rsid w:val="00BB02FC"/>
    <w:rsid w:val="00BC75C2"/>
    <w:rsid w:val="00BD7406"/>
    <w:rsid w:val="00BE5553"/>
    <w:rsid w:val="00C000D7"/>
    <w:rsid w:val="00C24755"/>
    <w:rsid w:val="00C303AC"/>
    <w:rsid w:val="00C509B2"/>
    <w:rsid w:val="00C51FCE"/>
    <w:rsid w:val="00C65F77"/>
    <w:rsid w:val="00C75062"/>
    <w:rsid w:val="00C85F3C"/>
    <w:rsid w:val="00CA03CC"/>
    <w:rsid w:val="00CA5F11"/>
    <w:rsid w:val="00CC00F0"/>
    <w:rsid w:val="00CD3D7F"/>
    <w:rsid w:val="00CF1125"/>
    <w:rsid w:val="00CF321C"/>
    <w:rsid w:val="00D02477"/>
    <w:rsid w:val="00D15023"/>
    <w:rsid w:val="00D20E31"/>
    <w:rsid w:val="00D21E24"/>
    <w:rsid w:val="00D326AA"/>
    <w:rsid w:val="00D3690D"/>
    <w:rsid w:val="00D7272C"/>
    <w:rsid w:val="00D97856"/>
    <w:rsid w:val="00D97DC9"/>
    <w:rsid w:val="00DB795D"/>
    <w:rsid w:val="00DC58AE"/>
    <w:rsid w:val="00DD06E2"/>
    <w:rsid w:val="00DD0823"/>
    <w:rsid w:val="00DD0A56"/>
    <w:rsid w:val="00DD1811"/>
    <w:rsid w:val="00DD6C20"/>
    <w:rsid w:val="00DE0BC6"/>
    <w:rsid w:val="00DE1806"/>
    <w:rsid w:val="00E05335"/>
    <w:rsid w:val="00E11668"/>
    <w:rsid w:val="00E14775"/>
    <w:rsid w:val="00E26887"/>
    <w:rsid w:val="00E27138"/>
    <w:rsid w:val="00E356F1"/>
    <w:rsid w:val="00E42EB2"/>
    <w:rsid w:val="00E4531E"/>
    <w:rsid w:val="00E46464"/>
    <w:rsid w:val="00E54D38"/>
    <w:rsid w:val="00E72EAF"/>
    <w:rsid w:val="00E81D04"/>
    <w:rsid w:val="00E8265E"/>
    <w:rsid w:val="00EB11E3"/>
    <w:rsid w:val="00ED50A6"/>
    <w:rsid w:val="00ED642C"/>
    <w:rsid w:val="00EE4134"/>
    <w:rsid w:val="00EE6D52"/>
    <w:rsid w:val="00EF38D3"/>
    <w:rsid w:val="00F01B3E"/>
    <w:rsid w:val="00F44187"/>
    <w:rsid w:val="00F507B8"/>
    <w:rsid w:val="00F61624"/>
    <w:rsid w:val="00F74585"/>
    <w:rsid w:val="00F87DCC"/>
    <w:rsid w:val="00F92AAC"/>
    <w:rsid w:val="00F930D3"/>
    <w:rsid w:val="00FA1236"/>
    <w:rsid w:val="00FF2187"/>
    <w:rsid w:val="00FF3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596E12-4224-4EA4-A41E-CE4F2F906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0929"/>
  </w:style>
  <w:style w:type="paragraph" w:styleId="Heading1">
    <w:name w:val="heading 1"/>
    <w:basedOn w:val="Normal"/>
    <w:next w:val="Normal"/>
    <w:link w:val="Heading1Char"/>
    <w:uiPriority w:val="9"/>
    <w:qFormat/>
    <w:rsid w:val="00B45D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149A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82675F"/>
    <w:pPr>
      <w:ind w:left="720" w:right="720"/>
    </w:pPr>
    <w:rPr>
      <w:iCs/>
      <w:color w:val="000000" w:themeColor="text1"/>
    </w:rPr>
  </w:style>
  <w:style w:type="character" w:customStyle="1" w:styleId="QuoteChar">
    <w:name w:val="Quote Char"/>
    <w:basedOn w:val="DefaultParagraphFont"/>
    <w:link w:val="Quote"/>
    <w:uiPriority w:val="29"/>
    <w:rsid w:val="0082675F"/>
    <w:rPr>
      <w:iCs/>
      <w:color w:val="000000" w:themeColor="text1"/>
    </w:rPr>
  </w:style>
  <w:style w:type="paragraph" w:styleId="Title">
    <w:name w:val="Title"/>
    <w:basedOn w:val="Normal"/>
    <w:next w:val="Normal"/>
    <w:link w:val="TitleChar"/>
    <w:uiPriority w:val="10"/>
    <w:qFormat/>
    <w:rsid w:val="003D49D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D49DD"/>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3D49DD"/>
    <w:rPr>
      <w:color w:val="0000FF" w:themeColor="hyperlink"/>
      <w:u w:val="single"/>
    </w:rPr>
  </w:style>
  <w:style w:type="paragraph" w:styleId="FootnoteText">
    <w:name w:val="footnote text"/>
    <w:basedOn w:val="Normal"/>
    <w:link w:val="FootnoteTextChar"/>
    <w:uiPriority w:val="99"/>
    <w:unhideWhenUsed/>
    <w:rsid w:val="002B5C84"/>
    <w:pPr>
      <w:spacing w:after="0" w:line="240" w:lineRule="auto"/>
    </w:pPr>
    <w:rPr>
      <w:sz w:val="20"/>
      <w:szCs w:val="20"/>
    </w:rPr>
  </w:style>
  <w:style w:type="character" w:customStyle="1" w:styleId="FootnoteTextChar">
    <w:name w:val="Footnote Text Char"/>
    <w:basedOn w:val="DefaultParagraphFont"/>
    <w:link w:val="FootnoteText"/>
    <w:uiPriority w:val="99"/>
    <w:rsid w:val="002B5C84"/>
    <w:rPr>
      <w:sz w:val="20"/>
      <w:szCs w:val="20"/>
    </w:rPr>
  </w:style>
  <w:style w:type="character" w:styleId="FootnoteReference">
    <w:name w:val="footnote reference"/>
    <w:basedOn w:val="DefaultParagraphFont"/>
    <w:uiPriority w:val="99"/>
    <w:semiHidden/>
    <w:unhideWhenUsed/>
    <w:rsid w:val="002B5C84"/>
    <w:rPr>
      <w:vertAlign w:val="superscript"/>
    </w:rPr>
  </w:style>
  <w:style w:type="paragraph" w:styleId="BalloonText">
    <w:name w:val="Balloon Text"/>
    <w:basedOn w:val="Normal"/>
    <w:link w:val="BalloonTextChar"/>
    <w:uiPriority w:val="99"/>
    <w:semiHidden/>
    <w:unhideWhenUsed/>
    <w:rsid w:val="006A63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6303"/>
    <w:rPr>
      <w:rFonts w:ascii="Tahoma" w:hAnsi="Tahoma" w:cs="Tahoma"/>
      <w:sz w:val="16"/>
      <w:szCs w:val="16"/>
    </w:rPr>
  </w:style>
  <w:style w:type="paragraph" w:styleId="Caption">
    <w:name w:val="caption"/>
    <w:basedOn w:val="Normal"/>
    <w:next w:val="Normal"/>
    <w:uiPriority w:val="35"/>
    <w:unhideWhenUsed/>
    <w:qFormat/>
    <w:rsid w:val="006A6303"/>
    <w:pPr>
      <w:spacing w:line="240" w:lineRule="auto"/>
    </w:pPr>
    <w:rPr>
      <w:b/>
      <w:bCs/>
      <w:color w:val="4F81BD" w:themeColor="accent1"/>
      <w:sz w:val="18"/>
      <w:szCs w:val="18"/>
    </w:rPr>
  </w:style>
  <w:style w:type="character" w:customStyle="1" w:styleId="MTEquationSection">
    <w:name w:val="MTEquationSection"/>
    <w:basedOn w:val="DefaultParagraphFont"/>
    <w:rsid w:val="008B2842"/>
    <w:rPr>
      <w:vanish/>
      <w:color w:val="FF0000"/>
    </w:rPr>
  </w:style>
  <w:style w:type="paragraph" w:customStyle="1" w:styleId="MTDisplayEquation">
    <w:name w:val="MTDisplayEquation"/>
    <w:basedOn w:val="Normal"/>
    <w:next w:val="Normal"/>
    <w:link w:val="MTDisplayEquationChar"/>
    <w:rsid w:val="008B2842"/>
    <w:pPr>
      <w:tabs>
        <w:tab w:val="center" w:pos="4680"/>
        <w:tab w:val="right" w:pos="9360"/>
      </w:tabs>
    </w:pPr>
  </w:style>
  <w:style w:type="character" w:customStyle="1" w:styleId="MTDisplayEquationChar">
    <w:name w:val="MTDisplayEquation Char"/>
    <w:basedOn w:val="DefaultParagraphFont"/>
    <w:link w:val="MTDisplayEquation"/>
    <w:rsid w:val="008B2842"/>
  </w:style>
  <w:style w:type="paragraph" w:styleId="NoSpacing">
    <w:name w:val="No Spacing"/>
    <w:uiPriority w:val="1"/>
    <w:qFormat/>
    <w:rsid w:val="00380929"/>
    <w:pPr>
      <w:spacing w:after="0" w:line="240" w:lineRule="auto"/>
    </w:pPr>
  </w:style>
  <w:style w:type="character" w:customStyle="1" w:styleId="Heading1Char">
    <w:name w:val="Heading 1 Char"/>
    <w:basedOn w:val="DefaultParagraphFont"/>
    <w:link w:val="Heading1"/>
    <w:uiPriority w:val="9"/>
    <w:rsid w:val="00B45D2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149A2"/>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0670EB"/>
    <w:pPr>
      <w:spacing w:before="100" w:beforeAutospacing="1" w:after="100" w:afterAutospacing="1" w:line="240" w:lineRule="auto"/>
    </w:pPr>
    <w:rPr>
      <w:rFonts w:ascii="Times New Roman" w:eastAsiaTheme="minorEastAsia"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24287">
      <w:bodyDiv w:val="1"/>
      <w:marLeft w:val="0"/>
      <w:marRight w:val="0"/>
      <w:marTop w:val="0"/>
      <w:marBottom w:val="0"/>
      <w:divBdr>
        <w:top w:val="none" w:sz="0" w:space="0" w:color="auto"/>
        <w:left w:val="none" w:sz="0" w:space="0" w:color="auto"/>
        <w:bottom w:val="none" w:sz="0" w:space="0" w:color="auto"/>
        <w:right w:val="none" w:sz="0" w:space="0" w:color="auto"/>
      </w:divBdr>
      <w:divsChild>
        <w:div w:id="915822033">
          <w:marLeft w:val="1166"/>
          <w:marRight w:val="0"/>
          <w:marTop w:val="40"/>
          <w:marBottom w:val="0"/>
          <w:divBdr>
            <w:top w:val="none" w:sz="0" w:space="0" w:color="auto"/>
            <w:left w:val="none" w:sz="0" w:space="0" w:color="auto"/>
            <w:bottom w:val="none" w:sz="0" w:space="0" w:color="auto"/>
            <w:right w:val="none" w:sz="0" w:space="0" w:color="auto"/>
          </w:divBdr>
        </w:div>
        <w:div w:id="159467488">
          <w:marLeft w:val="1166"/>
          <w:marRight w:val="0"/>
          <w:marTop w:val="40"/>
          <w:marBottom w:val="0"/>
          <w:divBdr>
            <w:top w:val="none" w:sz="0" w:space="0" w:color="auto"/>
            <w:left w:val="none" w:sz="0" w:space="0" w:color="auto"/>
            <w:bottom w:val="none" w:sz="0" w:space="0" w:color="auto"/>
            <w:right w:val="none" w:sz="0" w:space="0" w:color="auto"/>
          </w:divBdr>
        </w:div>
        <w:div w:id="1807046288">
          <w:marLeft w:val="1166"/>
          <w:marRight w:val="0"/>
          <w:marTop w:val="40"/>
          <w:marBottom w:val="0"/>
          <w:divBdr>
            <w:top w:val="none" w:sz="0" w:space="0" w:color="auto"/>
            <w:left w:val="none" w:sz="0" w:space="0" w:color="auto"/>
            <w:bottom w:val="none" w:sz="0" w:space="0" w:color="auto"/>
            <w:right w:val="none" w:sz="0" w:space="0" w:color="auto"/>
          </w:divBdr>
        </w:div>
        <w:div w:id="1769808126">
          <w:marLeft w:val="1166"/>
          <w:marRight w:val="0"/>
          <w:marTop w:val="40"/>
          <w:marBottom w:val="0"/>
          <w:divBdr>
            <w:top w:val="none" w:sz="0" w:space="0" w:color="auto"/>
            <w:left w:val="none" w:sz="0" w:space="0" w:color="auto"/>
            <w:bottom w:val="none" w:sz="0" w:space="0" w:color="auto"/>
            <w:right w:val="none" w:sz="0" w:space="0" w:color="auto"/>
          </w:divBdr>
        </w:div>
        <w:div w:id="631323792">
          <w:marLeft w:val="1166"/>
          <w:marRight w:val="0"/>
          <w:marTop w:val="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7.wmf"/><Relationship Id="rId26" Type="http://schemas.openxmlformats.org/officeDocument/2006/relationships/image" Target="media/image12.wmf"/><Relationship Id="rId39" Type="http://schemas.openxmlformats.org/officeDocument/2006/relationships/image" Target="media/image21.wmf"/><Relationship Id="rId21" Type="http://schemas.openxmlformats.org/officeDocument/2006/relationships/image" Target="media/image9.wmf"/><Relationship Id="rId34" Type="http://schemas.openxmlformats.org/officeDocument/2006/relationships/image" Target="media/image16.wmf"/><Relationship Id="rId42" Type="http://schemas.openxmlformats.org/officeDocument/2006/relationships/image" Target="media/image24.wmf"/><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oleObject" Target="embeddings/oleObject12.bin"/><Relationship Id="rId63" Type="http://schemas.openxmlformats.org/officeDocument/2006/relationships/theme" Target="theme/theme1.xml"/><Relationship Id="rId7" Type="http://schemas.openxmlformats.org/officeDocument/2006/relationships/hyperlink" Target="http://thinkexist.com/quotation/it_ain-t_what_you_don-t_know_that_gets_you_into/215214.html" TargetMode="Externa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image" Target="media/image8.png"/><Relationship Id="rId29" Type="http://schemas.openxmlformats.org/officeDocument/2006/relationships/oleObject" Target="embeddings/oleObject8.bin"/><Relationship Id="rId41" Type="http://schemas.openxmlformats.org/officeDocument/2006/relationships/image" Target="media/image23.wmf"/><Relationship Id="rId54" Type="http://schemas.openxmlformats.org/officeDocument/2006/relationships/image" Target="media/image35.w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image" Target="media/image19.wmf"/><Relationship Id="rId40" Type="http://schemas.openxmlformats.org/officeDocument/2006/relationships/image" Target="media/image22.wmf"/><Relationship Id="rId45" Type="http://schemas.openxmlformats.org/officeDocument/2006/relationships/image" Target="media/image27.wmf"/><Relationship Id="rId53" Type="http://schemas.openxmlformats.org/officeDocument/2006/relationships/oleObject" Target="embeddings/oleObject11.bin"/><Relationship Id="rId58" Type="http://schemas.openxmlformats.org/officeDocument/2006/relationships/image" Target="media/image37.w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0.png"/><Relationship Id="rId28" Type="http://schemas.openxmlformats.org/officeDocument/2006/relationships/image" Target="media/image13.wmf"/><Relationship Id="rId36" Type="http://schemas.openxmlformats.org/officeDocument/2006/relationships/image" Target="media/image18.wmf"/><Relationship Id="rId49" Type="http://schemas.openxmlformats.org/officeDocument/2006/relationships/image" Target="media/image31.png"/><Relationship Id="rId57" Type="http://schemas.openxmlformats.org/officeDocument/2006/relationships/oleObject" Target="embeddings/oleObject13.bin"/><Relationship Id="rId61" Type="http://schemas.openxmlformats.org/officeDocument/2006/relationships/oleObject" Target="embeddings/oleObject15.bin"/><Relationship Id="rId10" Type="http://schemas.openxmlformats.org/officeDocument/2006/relationships/image" Target="media/image2.wmf"/><Relationship Id="rId19" Type="http://schemas.openxmlformats.org/officeDocument/2006/relationships/oleObject" Target="embeddings/oleObject4.bin"/><Relationship Id="rId31" Type="http://schemas.openxmlformats.org/officeDocument/2006/relationships/oleObject" Target="embeddings/oleObject9.bin"/><Relationship Id="rId44" Type="http://schemas.openxmlformats.org/officeDocument/2006/relationships/image" Target="media/image26.wmf"/><Relationship Id="rId52" Type="http://schemas.openxmlformats.org/officeDocument/2006/relationships/image" Target="media/image34.wmf"/><Relationship Id="rId60" Type="http://schemas.openxmlformats.org/officeDocument/2006/relationships/image" Target="media/image38.wmf"/><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oleObject" Target="embeddings/oleObject5.bin"/><Relationship Id="rId27" Type="http://schemas.openxmlformats.org/officeDocument/2006/relationships/oleObject" Target="embeddings/oleObject7.bin"/><Relationship Id="rId30" Type="http://schemas.openxmlformats.org/officeDocument/2006/relationships/image" Target="media/image14.wmf"/><Relationship Id="rId35" Type="http://schemas.openxmlformats.org/officeDocument/2006/relationships/image" Target="media/image17.wmf"/><Relationship Id="rId43" Type="http://schemas.openxmlformats.org/officeDocument/2006/relationships/image" Target="media/image25.wmf"/><Relationship Id="rId48" Type="http://schemas.openxmlformats.org/officeDocument/2006/relationships/image" Target="media/image30.png"/><Relationship Id="rId56" Type="http://schemas.openxmlformats.org/officeDocument/2006/relationships/image" Target="media/image36.wmf"/><Relationship Id="rId8" Type="http://schemas.openxmlformats.org/officeDocument/2006/relationships/hyperlink" Target="http://www.debtdeflation.com/blogs/minsky/" TargetMode="External"/><Relationship Id="rId51" Type="http://schemas.openxmlformats.org/officeDocument/2006/relationships/image" Target="media/image33.pn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20.wmf"/><Relationship Id="rId46" Type="http://schemas.openxmlformats.org/officeDocument/2006/relationships/image" Target="media/image28.wmf"/><Relationship Id="rId59" Type="http://schemas.openxmlformats.org/officeDocument/2006/relationships/oleObject" Target="embeddings/oleObject1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DB149-BCC4-49B9-BABF-8FAF46E30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1508</TotalTime>
  <Pages>1</Pages>
  <Words>11222</Words>
  <Characters>63971</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 Keen</cp:lastModifiedBy>
  <cp:revision>31</cp:revision>
  <cp:lastPrinted>2013-05-26T08:36:00Z</cp:lastPrinted>
  <dcterms:created xsi:type="dcterms:W3CDTF">2013-05-25T17:59:00Z</dcterms:created>
  <dcterms:modified xsi:type="dcterms:W3CDTF">2013-05-27T20:40:00Z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ies>
</file>